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6FF8" w:rsidRPr="00377102" w:rsidRDefault="00916FF8">
      <w:pPr>
        <w:jc w:val="right"/>
        <w:rPr>
          <w:rFonts w:cs="Miriam"/>
          <w:b/>
          <w:bCs/>
          <w:sz w:val="16"/>
          <w:szCs w:val="16"/>
          <w:u w:val="single"/>
          <w:rtl/>
        </w:rPr>
      </w:pPr>
    </w:p>
    <w:p w:rsidR="00916FF8" w:rsidRPr="00377102" w:rsidRDefault="00916FF8">
      <w:pPr>
        <w:jc w:val="right"/>
        <w:rPr>
          <w:rFonts w:cs="Miriam"/>
          <w:b/>
          <w:bCs/>
          <w:sz w:val="16"/>
          <w:szCs w:val="16"/>
          <w:u w:val="single"/>
        </w:rPr>
      </w:pPr>
    </w:p>
    <w:tbl>
      <w:tblPr>
        <w:bidiVisual/>
        <w:tblW w:w="8363" w:type="dxa"/>
        <w:tblInd w:w="9" w:type="dxa"/>
        <w:tblLook w:val="0000" w:firstRow="0" w:lastRow="0" w:firstColumn="0" w:lastColumn="0" w:noHBand="0" w:noVBand="0"/>
      </w:tblPr>
      <w:tblGrid>
        <w:gridCol w:w="8363"/>
      </w:tblGrid>
      <w:tr w:rsidR="00036227" w:rsidTr="0039709B">
        <w:tc>
          <w:tcPr>
            <w:tcW w:w="7848" w:type="dxa"/>
          </w:tcPr>
          <w:p w:rsidR="00916FF8" w:rsidRPr="00624A42" w:rsidRDefault="004E1787" w:rsidP="004C7868">
            <w:pPr>
              <w:pStyle w:val="FileNumber0"/>
              <w:rPr>
                <w:sz w:val="28"/>
                <w:u w:val="single"/>
                <w:rtl/>
              </w:rPr>
            </w:pPr>
            <w:r>
              <w:rPr>
                <w:u w:val="single"/>
                <w:rtl/>
              </w:rPr>
              <w:t xml:space="preserve">בבית המשפט העליון </w:t>
            </w:r>
          </w:p>
        </w:tc>
      </w:tr>
    </w:tbl>
    <w:p w:rsidR="00916FF8" w:rsidRDefault="00916FF8">
      <w:pPr>
        <w:jc w:val="right"/>
        <w:rPr>
          <w:rFonts w:cs="Miriam"/>
          <w:b/>
          <w:bCs/>
          <w:u w:val="single"/>
        </w:rPr>
      </w:pPr>
    </w:p>
    <w:tbl>
      <w:tblPr>
        <w:bidiVisual/>
        <w:tblW w:w="8363" w:type="dxa"/>
        <w:tblLook w:val="0000" w:firstRow="0" w:lastRow="0" w:firstColumn="0" w:lastColumn="0" w:noHBand="0" w:noVBand="0"/>
      </w:tblPr>
      <w:tblGrid>
        <w:gridCol w:w="8363"/>
      </w:tblGrid>
      <w:tr w:rsidR="00036227" w:rsidTr="0039709B">
        <w:trPr>
          <w:trHeight w:val="342"/>
        </w:trPr>
        <w:tc>
          <w:tcPr>
            <w:tcW w:w="9828" w:type="dxa"/>
          </w:tcPr>
          <w:p w:rsidR="00916FF8" w:rsidRPr="00810894" w:rsidRDefault="004E1787">
            <w:pPr>
              <w:pStyle w:val="FileNumber"/>
              <w:rPr>
                <w:sz w:val="28"/>
                <w:szCs w:val="28"/>
              </w:rPr>
            </w:pPr>
            <w:bookmarkStart w:id="0" w:name="casename_body"/>
            <w:proofErr w:type="spellStart"/>
            <w:r>
              <w:rPr>
                <w:sz w:val="28"/>
                <w:szCs w:val="28"/>
                <w:rtl/>
              </w:rPr>
              <w:t>רע"פ</w:t>
            </w:r>
            <w:proofErr w:type="spellEnd"/>
            <w:r>
              <w:rPr>
                <w:sz w:val="28"/>
                <w:szCs w:val="28"/>
                <w:rtl/>
              </w:rPr>
              <w:t xml:space="preserve">  5334/23</w:t>
            </w:r>
          </w:p>
        </w:tc>
      </w:tr>
      <w:bookmarkEnd w:id="0"/>
    </w:tbl>
    <w:p w:rsidR="00916FF8" w:rsidRDefault="00916FF8">
      <w:pPr>
        <w:jc w:val="right"/>
        <w:rPr>
          <w:rFonts w:cs="Miriam"/>
          <w:b/>
          <w:bCs/>
          <w:u w:val="single"/>
        </w:rPr>
      </w:pPr>
    </w:p>
    <w:tbl>
      <w:tblPr>
        <w:bidiVisual/>
        <w:tblW w:w="8364" w:type="dxa"/>
        <w:tblLayout w:type="fixed"/>
        <w:tblLook w:val="0000" w:firstRow="0" w:lastRow="0" w:firstColumn="0" w:lastColumn="0" w:noHBand="0" w:noVBand="0"/>
      </w:tblPr>
      <w:tblGrid>
        <w:gridCol w:w="3210"/>
        <w:gridCol w:w="5154"/>
      </w:tblGrid>
      <w:tr w:rsidR="00036227" w:rsidTr="00EC23AC">
        <w:trPr>
          <w:trHeight w:val="287"/>
        </w:trPr>
        <w:tc>
          <w:tcPr>
            <w:tcW w:w="3261" w:type="dxa"/>
          </w:tcPr>
          <w:p w:rsidR="00036227" w:rsidRDefault="00CB7600">
            <w:pPr>
              <w:pStyle w:val="BodyRuller"/>
              <w:rPr>
                <w:rFonts w:cs="Miriam"/>
                <w:b/>
                <w:bCs/>
                <w:u w:val="single"/>
              </w:rPr>
            </w:pPr>
            <w:r>
              <w:rPr>
                <w:rFonts w:hint="cs"/>
                <w:rtl/>
              </w:rPr>
              <w:t>ל</w:t>
            </w:r>
            <w:r w:rsidR="00036227">
              <w:rPr>
                <w:rtl/>
              </w:rPr>
              <w:t>פני:</w:t>
            </w:r>
            <w:r w:rsidR="00036227">
              <w:rPr>
                <w:rtl/>
              </w:rPr>
              <w:tab/>
            </w:r>
          </w:p>
        </w:tc>
        <w:tc>
          <w:tcPr>
            <w:tcW w:w="5239" w:type="dxa"/>
          </w:tcPr>
          <w:p w:rsidR="00036227" w:rsidRDefault="004E1787">
            <w:pPr>
              <w:pStyle w:val="BodyRuller"/>
            </w:pPr>
            <w:r>
              <w:rPr>
                <w:rtl/>
              </w:rPr>
              <w:t>כבוד השופט י' אלרון</w:t>
            </w:r>
          </w:p>
        </w:tc>
      </w:tr>
      <w:tr w:rsidR="004E1787" w:rsidTr="00EC23AC">
        <w:trPr>
          <w:trHeight w:val="287"/>
        </w:trPr>
        <w:tc>
          <w:tcPr>
            <w:tcW w:w="3261" w:type="dxa"/>
          </w:tcPr>
          <w:p w:rsidR="004E1787" w:rsidRDefault="004E1787">
            <w:pPr>
              <w:pStyle w:val="BodyRuller"/>
              <w:rPr>
                <w:rtl/>
              </w:rPr>
            </w:pPr>
          </w:p>
        </w:tc>
        <w:tc>
          <w:tcPr>
            <w:tcW w:w="5239" w:type="dxa"/>
          </w:tcPr>
          <w:p w:rsidR="004E1787" w:rsidRDefault="004E1787">
            <w:pPr>
              <w:pStyle w:val="BodyRuller"/>
              <w:rPr>
                <w:rtl/>
              </w:rPr>
            </w:pPr>
            <w:r>
              <w:rPr>
                <w:rtl/>
              </w:rPr>
              <w:t>כבוד השופט א' שטיין</w:t>
            </w:r>
          </w:p>
        </w:tc>
      </w:tr>
      <w:tr w:rsidR="004E1787" w:rsidTr="00EC23AC">
        <w:trPr>
          <w:trHeight w:val="287"/>
        </w:trPr>
        <w:tc>
          <w:tcPr>
            <w:tcW w:w="3261" w:type="dxa"/>
          </w:tcPr>
          <w:p w:rsidR="004E1787" w:rsidRDefault="004E1787">
            <w:pPr>
              <w:pStyle w:val="BodyRuller"/>
              <w:rPr>
                <w:rtl/>
              </w:rPr>
            </w:pPr>
          </w:p>
        </w:tc>
        <w:tc>
          <w:tcPr>
            <w:tcW w:w="5239" w:type="dxa"/>
          </w:tcPr>
          <w:p w:rsidR="004E1787" w:rsidRDefault="004E1787">
            <w:pPr>
              <w:pStyle w:val="BodyRuller"/>
              <w:rPr>
                <w:rtl/>
              </w:rPr>
            </w:pPr>
            <w:r>
              <w:rPr>
                <w:rtl/>
              </w:rPr>
              <w:t>כבוד השופטת ר' רונן</w:t>
            </w:r>
          </w:p>
        </w:tc>
      </w:tr>
    </w:tbl>
    <w:p w:rsidR="00916FF8" w:rsidRDefault="00916FF8">
      <w:pPr>
        <w:pStyle w:val="Ruller3"/>
        <w:rPr>
          <w:rFonts w:cs="Miriam"/>
          <w:b/>
          <w:bCs/>
          <w:u w:val="single"/>
          <w:rtl/>
        </w:rPr>
      </w:pPr>
    </w:p>
    <w:tbl>
      <w:tblPr>
        <w:bidiVisual/>
        <w:tblW w:w="8364" w:type="dxa"/>
        <w:tblLayout w:type="fixed"/>
        <w:tblLook w:val="0000" w:firstRow="0" w:lastRow="0" w:firstColumn="0" w:lastColumn="0" w:noHBand="0" w:noVBand="0"/>
      </w:tblPr>
      <w:tblGrid>
        <w:gridCol w:w="3210"/>
        <w:gridCol w:w="5154"/>
      </w:tblGrid>
      <w:tr w:rsidR="00D00CB7" w:rsidTr="00DD6306">
        <w:trPr>
          <w:trHeight w:val="287"/>
        </w:trPr>
        <w:tc>
          <w:tcPr>
            <w:tcW w:w="3261" w:type="dxa"/>
          </w:tcPr>
          <w:p w:rsidR="00D00CB7" w:rsidRPr="00E75223" w:rsidRDefault="004E1787" w:rsidP="00DD6306">
            <w:pPr>
              <w:pStyle w:val="BodyRuller"/>
              <w:rPr>
                <w:rFonts w:ascii="David" w:hAnsi="David"/>
              </w:rPr>
            </w:pPr>
            <w:r>
              <w:rPr>
                <w:rFonts w:ascii="David" w:hAnsi="David"/>
                <w:rtl/>
              </w:rPr>
              <w:t>המבקש:</w:t>
            </w:r>
          </w:p>
        </w:tc>
        <w:tc>
          <w:tcPr>
            <w:tcW w:w="5239" w:type="dxa"/>
          </w:tcPr>
          <w:p w:rsidR="00D00CB7" w:rsidRDefault="004E1787" w:rsidP="00DD6306">
            <w:pPr>
              <w:pStyle w:val="BodyRuller"/>
            </w:pPr>
            <w:r>
              <w:rPr>
                <w:rtl/>
              </w:rPr>
              <w:t xml:space="preserve">אברהם </w:t>
            </w:r>
            <w:proofErr w:type="spellStart"/>
            <w:r>
              <w:rPr>
                <w:rtl/>
              </w:rPr>
              <w:t>אברגל</w:t>
            </w:r>
            <w:proofErr w:type="spellEnd"/>
          </w:p>
        </w:tc>
      </w:tr>
    </w:tbl>
    <w:p w:rsidR="00D00CB7" w:rsidRDefault="00D00CB7">
      <w:pPr>
        <w:pStyle w:val="Ruller3"/>
      </w:pPr>
    </w:p>
    <w:tbl>
      <w:tblPr>
        <w:bidiVisual/>
        <w:tblW w:w="8363" w:type="dxa"/>
        <w:tblLook w:val="0000" w:firstRow="0" w:lastRow="0" w:firstColumn="0" w:lastColumn="0" w:noHBand="0" w:noVBand="0"/>
      </w:tblPr>
      <w:tblGrid>
        <w:gridCol w:w="3222"/>
        <w:gridCol w:w="5141"/>
      </w:tblGrid>
      <w:tr w:rsidR="00036227" w:rsidTr="0039709B">
        <w:tc>
          <w:tcPr>
            <w:tcW w:w="3284" w:type="dxa"/>
          </w:tcPr>
          <w:p w:rsidR="00036227" w:rsidRDefault="00036227">
            <w:pPr>
              <w:pStyle w:val="BodyRuller"/>
            </w:pPr>
          </w:p>
        </w:tc>
        <w:tc>
          <w:tcPr>
            <w:tcW w:w="5238" w:type="dxa"/>
          </w:tcPr>
          <w:p w:rsidR="00036227" w:rsidRDefault="00036227">
            <w:pPr>
              <w:pStyle w:val="BodyRuller"/>
            </w:pPr>
            <w:r>
              <w:rPr>
                <w:rFonts w:hint="cs"/>
                <w:rtl/>
              </w:rPr>
              <w:t>נ</w:t>
            </w:r>
            <w:r>
              <w:t xml:space="preserve">  </w:t>
            </w:r>
            <w:r>
              <w:rPr>
                <w:rFonts w:hint="cs"/>
                <w:rtl/>
              </w:rPr>
              <w:t>ג</w:t>
            </w:r>
            <w:r>
              <w:t xml:space="preserve">  </w:t>
            </w:r>
            <w:r>
              <w:rPr>
                <w:rFonts w:hint="cs"/>
                <w:rtl/>
              </w:rPr>
              <w:t>ד</w:t>
            </w:r>
          </w:p>
        </w:tc>
      </w:tr>
    </w:tbl>
    <w:p w:rsidR="00916FF8" w:rsidRDefault="00916FF8">
      <w:pPr>
        <w:pStyle w:val="Ruller3"/>
        <w:rPr>
          <w:rtl/>
        </w:rPr>
      </w:pPr>
    </w:p>
    <w:tbl>
      <w:tblPr>
        <w:bidiVisual/>
        <w:tblW w:w="8364" w:type="dxa"/>
        <w:tblLayout w:type="fixed"/>
        <w:tblLook w:val="0000" w:firstRow="0" w:lastRow="0" w:firstColumn="0" w:lastColumn="0" w:noHBand="0" w:noVBand="0"/>
      </w:tblPr>
      <w:tblGrid>
        <w:gridCol w:w="3210"/>
        <w:gridCol w:w="5154"/>
      </w:tblGrid>
      <w:tr w:rsidR="0083345F" w:rsidTr="00DD6306">
        <w:trPr>
          <w:trHeight w:val="287"/>
        </w:trPr>
        <w:tc>
          <w:tcPr>
            <w:tcW w:w="3261" w:type="dxa"/>
          </w:tcPr>
          <w:p w:rsidR="0083345F" w:rsidRPr="00E75223" w:rsidRDefault="004E1787" w:rsidP="00DD6306">
            <w:pPr>
              <w:pStyle w:val="BodyRuller"/>
              <w:rPr>
                <w:rFonts w:ascii="David" w:hAnsi="David"/>
              </w:rPr>
            </w:pPr>
            <w:r>
              <w:rPr>
                <w:rFonts w:ascii="David" w:hAnsi="David"/>
                <w:rtl/>
              </w:rPr>
              <w:t>המשיב</w:t>
            </w:r>
            <w:r w:rsidR="00320A94">
              <w:rPr>
                <w:rFonts w:ascii="David" w:hAnsi="David" w:hint="cs"/>
                <w:rtl/>
              </w:rPr>
              <w:t>ה</w:t>
            </w:r>
            <w:r>
              <w:rPr>
                <w:rFonts w:ascii="David" w:hAnsi="David"/>
                <w:rtl/>
              </w:rPr>
              <w:t>:</w:t>
            </w:r>
          </w:p>
        </w:tc>
        <w:tc>
          <w:tcPr>
            <w:tcW w:w="5239" w:type="dxa"/>
          </w:tcPr>
          <w:p w:rsidR="0083345F" w:rsidRDefault="004E1787" w:rsidP="00DD6306">
            <w:pPr>
              <w:pStyle w:val="BodyRuller"/>
            </w:pPr>
            <w:r>
              <w:rPr>
                <w:rtl/>
              </w:rPr>
              <w:t>מדינת ישראל</w:t>
            </w:r>
          </w:p>
        </w:tc>
      </w:tr>
    </w:tbl>
    <w:p w:rsidR="0083345F" w:rsidRDefault="0083345F">
      <w:pPr>
        <w:pStyle w:val="Ruller3"/>
      </w:pPr>
    </w:p>
    <w:tbl>
      <w:tblPr>
        <w:bidiVisual/>
        <w:tblW w:w="0" w:type="auto"/>
        <w:tblInd w:w="3209" w:type="dxa"/>
        <w:tblLook w:val="0000" w:firstRow="0" w:lastRow="0" w:firstColumn="0" w:lastColumn="0" w:noHBand="0" w:noVBand="0"/>
      </w:tblPr>
      <w:tblGrid>
        <w:gridCol w:w="5103"/>
      </w:tblGrid>
      <w:tr w:rsidR="00036227" w:rsidTr="00CA1444">
        <w:tc>
          <w:tcPr>
            <w:tcW w:w="5103" w:type="dxa"/>
          </w:tcPr>
          <w:p w:rsidR="00916FF8" w:rsidRPr="00320A94" w:rsidRDefault="00320A94" w:rsidP="00320A94">
            <w:pPr>
              <w:pStyle w:val="BodyRuller"/>
              <w:jc w:val="both"/>
              <w:rPr>
                <w:sz w:val="24"/>
                <w:szCs w:val="24"/>
              </w:rPr>
            </w:pPr>
            <w:r w:rsidRPr="00320A94">
              <w:rPr>
                <w:rFonts w:ascii="David" w:hAnsi="David"/>
                <w:color w:val="333333"/>
                <w:sz w:val="24"/>
                <w:szCs w:val="24"/>
                <w:shd w:val="clear" w:color="auto" w:fill="FFFFFF"/>
                <w:rtl/>
              </w:rPr>
              <w:t xml:space="preserve">בקשת רשות ערעור על פסק דינו של בית המשפט המחוזי מרכז-לוד ב-ע"פ 10002-03-21 מיום 3.7.2022 שניתן על ידי השופטים מ' ברנט, ש' </w:t>
            </w:r>
            <w:proofErr w:type="spellStart"/>
            <w:r w:rsidRPr="00320A94">
              <w:rPr>
                <w:rFonts w:ascii="David" w:hAnsi="David"/>
                <w:color w:val="333333"/>
                <w:sz w:val="24"/>
                <w:szCs w:val="24"/>
                <w:shd w:val="clear" w:color="auto" w:fill="FFFFFF"/>
                <w:rtl/>
              </w:rPr>
              <w:t>בורנשטין</w:t>
            </w:r>
            <w:proofErr w:type="spellEnd"/>
            <w:r w:rsidRPr="00320A94">
              <w:rPr>
                <w:rFonts w:ascii="David" w:hAnsi="David"/>
                <w:color w:val="333333"/>
                <w:sz w:val="24"/>
                <w:szCs w:val="24"/>
                <w:shd w:val="clear" w:color="auto" w:fill="FFFFFF"/>
                <w:rtl/>
              </w:rPr>
              <w:t xml:space="preserve"> ו-מ' קרשן</w:t>
            </w:r>
          </w:p>
        </w:tc>
      </w:tr>
    </w:tbl>
    <w:p w:rsidR="00916FF8" w:rsidRDefault="00916FF8">
      <w:pPr>
        <w:pStyle w:val="Ruller3"/>
        <w:rPr>
          <w:rtl/>
        </w:rPr>
      </w:pPr>
    </w:p>
    <w:tbl>
      <w:tblPr>
        <w:bidiVisual/>
        <w:tblW w:w="8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0"/>
        <w:gridCol w:w="2423"/>
        <w:gridCol w:w="2710"/>
      </w:tblGrid>
      <w:tr w:rsidR="008C2F11" w:rsidTr="00D00B1D">
        <w:tc>
          <w:tcPr>
            <w:tcW w:w="3212" w:type="dxa"/>
            <w:tcBorders>
              <w:top w:val="nil"/>
              <w:left w:val="nil"/>
              <w:bottom w:val="nil"/>
              <w:right w:val="nil"/>
            </w:tcBorders>
          </w:tcPr>
          <w:p w:rsidR="008C2F11" w:rsidRPr="00265F6E" w:rsidRDefault="008C2F11">
            <w:pPr>
              <w:pStyle w:val="BodyRuller"/>
              <w:rPr>
                <w:sz w:val="24"/>
                <w:szCs w:val="24"/>
              </w:rPr>
            </w:pPr>
            <w:r w:rsidRPr="00265F6E">
              <w:rPr>
                <w:sz w:val="24"/>
                <w:szCs w:val="24"/>
                <w:rtl/>
              </w:rPr>
              <w:t>תאריך הישיבה:</w:t>
            </w:r>
          </w:p>
        </w:tc>
        <w:tc>
          <w:tcPr>
            <w:tcW w:w="2409" w:type="dxa"/>
            <w:tcBorders>
              <w:top w:val="nil"/>
              <w:left w:val="nil"/>
              <w:bottom w:val="nil"/>
              <w:right w:val="nil"/>
            </w:tcBorders>
          </w:tcPr>
          <w:p w:rsidR="008C2F11" w:rsidRDefault="00320A94" w:rsidP="00320A94">
            <w:pPr>
              <w:pStyle w:val="BodyRuller"/>
              <w:rPr>
                <w:rtl/>
              </w:rPr>
            </w:pPr>
            <w:r>
              <w:rPr>
                <w:rFonts w:hint="cs"/>
                <w:sz w:val="24"/>
                <w:szCs w:val="24"/>
                <w:rtl/>
              </w:rPr>
              <w:t xml:space="preserve">כ"ד באדר ב </w:t>
            </w:r>
            <w:proofErr w:type="spellStart"/>
            <w:r>
              <w:rPr>
                <w:rFonts w:hint="cs"/>
                <w:sz w:val="24"/>
                <w:szCs w:val="24"/>
                <w:rtl/>
              </w:rPr>
              <w:t>התשפ"ד</w:t>
            </w:r>
            <w:proofErr w:type="spellEnd"/>
            <w:r>
              <w:t xml:space="preserve">     </w:t>
            </w:r>
            <w:r w:rsidR="008C2F11">
              <w:t xml:space="preserve"> </w:t>
            </w:r>
          </w:p>
        </w:tc>
        <w:tc>
          <w:tcPr>
            <w:tcW w:w="2694" w:type="dxa"/>
            <w:tcBorders>
              <w:top w:val="nil"/>
              <w:left w:val="nil"/>
              <w:bottom w:val="nil"/>
              <w:right w:val="nil"/>
            </w:tcBorders>
          </w:tcPr>
          <w:p w:rsidR="008C2F11" w:rsidRDefault="004E1787" w:rsidP="00320A94">
            <w:pPr>
              <w:pStyle w:val="BodyRuller"/>
              <w:rPr>
                <w:sz w:val="24"/>
                <w:szCs w:val="24"/>
                <w:rtl/>
              </w:rPr>
            </w:pPr>
            <w:r>
              <w:t>(</w:t>
            </w:r>
            <w:r w:rsidR="00320A94">
              <w:t>3</w:t>
            </w:r>
            <w:r>
              <w:t>.</w:t>
            </w:r>
            <w:r w:rsidR="00320A94">
              <w:t>4</w:t>
            </w:r>
            <w:r>
              <w:t>.</w:t>
            </w:r>
            <w:r w:rsidR="00320A94">
              <w:t>2024</w:t>
            </w:r>
            <w:r>
              <w:t>)</w:t>
            </w:r>
            <w:r w:rsidR="00200D6B">
              <w:t xml:space="preserve"> </w:t>
            </w:r>
          </w:p>
        </w:tc>
      </w:tr>
    </w:tbl>
    <w:p w:rsidR="00916FF8" w:rsidRDefault="00916FF8">
      <w:pPr>
        <w:pStyle w:val="Ruller3"/>
      </w:pPr>
    </w:p>
    <w:tbl>
      <w:tblPr>
        <w:bidiVisual/>
        <w:tblW w:w="8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13"/>
        <w:gridCol w:w="5150"/>
      </w:tblGrid>
      <w:tr w:rsidR="00036227" w:rsidTr="00320A94">
        <w:tc>
          <w:tcPr>
            <w:tcW w:w="3213" w:type="dxa"/>
            <w:tcBorders>
              <w:top w:val="nil"/>
              <w:left w:val="nil"/>
              <w:bottom w:val="nil"/>
              <w:right w:val="nil"/>
            </w:tcBorders>
          </w:tcPr>
          <w:p w:rsidR="00036227" w:rsidRDefault="004E1787">
            <w:pPr>
              <w:pStyle w:val="BodyRuller"/>
            </w:pPr>
            <w:r>
              <w:rPr>
                <w:rtl/>
              </w:rPr>
              <w:t>בשם המבקש:</w:t>
            </w:r>
          </w:p>
        </w:tc>
        <w:tc>
          <w:tcPr>
            <w:tcW w:w="5150" w:type="dxa"/>
            <w:tcBorders>
              <w:top w:val="nil"/>
              <w:left w:val="nil"/>
              <w:bottom w:val="nil"/>
              <w:right w:val="nil"/>
            </w:tcBorders>
          </w:tcPr>
          <w:p w:rsidR="00036227" w:rsidRDefault="00320A94">
            <w:pPr>
              <w:pStyle w:val="BodyRuller"/>
              <w:rPr>
                <w:rtl/>
              </w:rPr>
            </w:pPr>
            <w:r>
              <w:rPr>
                <w:rFonts w:hint="cs"/>
                <w:rtl/>
              </w:rPr>
              <w:t>עו"ד שירן ברגמן; עו"ד נתנאל יעקב-חי</w:t>
            </w:r>
          </w:p>
        </w:tc>
      </w:tr>
    </w:tbl>
    <w:p w:rsidR="00916FF8" w:rsidRDefault="00916FF8">
      <w:pPr>
        <w:pStyle w:val="Ruller3"/>
      </w:pPr>
    </w:p>
    <w:tbl>
      <w:tblPr>
        <w:bidiVisual/>
        <w:tblW w:w="8363"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15"/>
        <w:gridCol w:w="5148"/>
      </w:tblGrid>
      <w:tr w:rsidR="00036227" w:rsidTr="00D00B1D">
        <w:tc>
          <w:tcPr>
            <w:tcW w:w="3257" w:type="dxa"/>
            <w:tcBorders>
              <w:top w:val="nil"/>
              <w:left w:val="nil"/>
              <w:bottom w:val="nil"/>
              <w:right w:val="nil"/>
            </w:tcBorders>
          </w:tcPr>
          <w:p w:rsidR="00036227" w:rsidRDefault="004E1787" w:rsidP="00320A94">
            <w:pPr>
              <w:pStyle w:val="BodyRuller"/>
            </w:pPr>
            <w:r>
              <w:rPr>
                <w:rtl/>
              </w:rPr>
              <w:t xml:space="preserve">בשם </w:t>
            </w:r>
            <w:r w:rsidR="00320A94">
              <w:rPr>
                <w:rFonts w:hint="cs"/>
                <w:rtl/>
              </w:rPr>
              <w:t>המשיבה</w:t>
            </w:r>
            <w:r>
              <w:rPr>
                <w:rtl/>
              </w:rPr>
              <w:t>:</w:t>
            </w:r>
          </w:p>
        </w:tc>
        <w:tc>
          <w:tcPr>
            <w:tcW w:w="5238" w:type="dxa"/>
            <w:tcBorders>
              <w:top w:val="nil"/>
              <w:left w:val="nil"/>
              <w:bottom w:val="nil"/>
              <w:right w:val="nil"/>
            </w:tcBorders>
          </w:tcPr>
          <w:p w:rsidR="00036227" w:rsidRDefault="004E1787" w:rsidP="00320A94">
            <w:pPr>
              <w:pStyle w:val="BodyRuller"/>
            </w:pPr>
            <w:r>
              <w:rPr>
                <w:rtl/>
              </w:rPr>
              <w:t xml:space="preserve">עו"ד </w:t>
            </w:r>
            <w:r w:rsidR="00320A94">
              <w:rPr>
                <w:rFonts w:hint="cs"/>
                <w:rtl/>
              </w:rPr>
              <w:t>סיגל בלום</w:t>
            </w:r>
          </w:p>
        </w:tc>
      </w:tr>
    </w:tbl>
    <w:p w:rsidR="00916FF8" w:rsidRDefault="00916FF8">
      <w:pPr>
        <w:tabs>
          <w:tab w:val="left" w:pos="2552"/>
        </w:tabs>
        <w:rPr>
          <w:rtl/>
        </w:rPr>
      </w:pPr>
    </w:p>
    <w:p w:rsidR="00320A94" w:rsidRDefault="00320A94">
      <w:pPr>
        <w:tabs>
          <w:tab w:val="left" w:pos="2552"/>
        </w:tabs>
      </w:pPr>
    </w:p>
    <w:tbl>
      <w:tblPr>
        <w:bidiVisual/>
        <w:tblW w:w="8363" w:type="dxa"/>
        <w:tblLook w:val="0000" w:firstRow="0" w:lastRow="0" w:firstColumn="0" w:lastColumn="0" w:noHBand="0" w:noVBand="0"/>
      </w:tblPr>
      <w:tblGrid>
        <w:gridCol w:w="8363"/>
      </w:tblGrid>
      <w:tr w:rsidR="00036227" w:rsidTr="00D00B1D">
        <w:tc>
          <w:tcPr>
            <w:tcW w:w="9837" w:type="dxa"/>
          </w:tcPr>
          <w:p w:rsidR="00916FF8" w:rsidRDefault="004E1787">
            <w:pPr>
              <w:pStyle w:val="DocumentHead"/>
            </w:pPr>
            <w:bookmarkStart w:id="1" w:name="secretary"/>
            <w:bookmarkStart w:id="2" w:name="BeginProtocol"/>
            <w:bookmarkEnd w:id="1"/>
            <w:bookmarkEnd w:id="2"/>
            <w:r>
              <w:rPr>
                <w:rtl/>
              </w:rPr>
              <w:t>פסק-דין</w:t>
            </w:r>
          </w:p>
        </w:tc>
      </w:tr>
    </w:tbl>
    <w:p w:rsidR="0065522F" w:rsidRDefault="0065522F">
      <w:pPr>
        <w:pStyle w:val="BODYVERDICT"/>
      </w:pPr>
    </w:p>
    <w:p w:rsidR="00916FF8" w:rsidRPr="00503A3E" w:rsidRDefault="004E1787">
      <w:pPr>
        <w:pStyle w:val="BODYVERDICT"/>
        <w:rPr>
          <w:rFonts w:cs="Miriam"/>
          <w:sz w:val="24"/>
          <w:szCs w:val="24"/>
          <w:u w:val="single"/>
          <w:rtl/>
        </w:rPr>
      </w:pPr>
      <w:bookmarkStart w:id="3" w:name="Writer_Name"/>
      <w:bookmarkEnd w:id="3"/>
      <w:r>
        <w:rPr>
          <w:rFonts w:cs="Miriam"/>
          <w:sz w:val="24"/>
          <w:szCs w:val="24"/>
          <w:u w:val="single"/>
          <w:rtl/>
        </w:rPr>
        <w:t>השופט י' אלרון:</w:t>
      </w:r>
    </w:p>
    <w:p w:rsidR="000B1478" w:rsidRDefault="000B1478" w:rsidP="00A51FAE">
      <w:pPr>
        <w:pStyle w:val="Ruller4"/>
        <w:rPr>
          <w:rtl/>
        </w:rPr>
      </w:pPr>
      <w:bookmarkStart w:id="4" w:name="Start_Write"/>
      <w:bookmarkEnd w:id="4"/>
    </w:p>
    <w:p w:rsidR="00DC1E54" w:rsidRDefault="00DC1E54" w:rsidP="00A55889">
      <w:pPr>
        <w:pStyle w:val="Ruller41"/>
        <w:numPr>
          <w:ilvl w:val="0"/>
          <w:numId w:val="11"/>
        </w:numPr>
        <w:overflowPunct/>
        <w:autoSpaceDE/>
        <w:autoSpaceDN/>
        <w:adjustRightInd/>
        <w:spacing w:after="420"/>
        <w:textAlignment w:val="auto"/>
      </w:pPr>
      <w:r>
        <w:rPr>
          <w:rFonts w:hint="cs"/>
          <w:rtl/>
        </w:rPr>
        <w:t>חיפוש לא חוקי שבוצע על בסיס פרשנות לא נכונה של הצו; השלכותיו על קבילות הראיות</w:t>
      </w:r>
      <w:r w:rsidR="00E85AA1">
        <w:rPr>
          <w:rFonts w:hint="cs"/>
          <w:rtl/>
        </w:rPr>
        <w:t xml:space="preserve"> שנתפסו</w:t>
      </w:r>
      <w:r>
        <w:rPr>
          <w:rFonts w:hint="cs"/>
          <w:rtl/>
        </w:rPr>
        <w:t xml:space="preserve">; והשימוש שעושה משטרת ישראל בתצלומי אוויר בבקשותיה למתן צווי חיפוש. אלו הסוגיות הניצבות לפנינו. </w:t>
      </w:r>
    </w:p>
    <w:p w:rsidR="00C3633C" w:rsidRDefault="00DC1E54" w:rsidP="00DC1E54">
      <w:pPr>
        <w:pStyle w:val="Ruller41"/>
        <w:tabs>
          <w:tab w:val="clear" w:pos="907"/>
        </w:tabs>
        <w:overflowPunct/>
        <w:autoSpaceDE/>
        <w:autoSpaceDN/>
        <w:adjustRightInd/>
        <w:spacing w:after="420"/>
        <w:textAlignment w:val="auto"/>
      </w:pPr>
      <w:r>
        <w:rPr>
          <w:rtl/>
        </w:rPr>
        <w:tab/>
      </w:r>
      <w:r w:rsidR="00E40118" w:rsidRPr="00E40118">
        <w:rPr>
          <w:rFonts w:hint="cs"/>
          <w:rtl/>
        </w:rPr>
        <w:t xml:space="preserve">החיפוש </w:t>
      </w:r>
      <w:r w:rsidR="00E40118">
        <w:rPr>
          <w:rFonts w:hint="cs"/>
          <w:rtl/>
        </w:rPr>
        <w:t xml:space="preserve">המשטרתי </w:t>
      </w:r>
      <w:r w:rsidR="00E40118" w:rsidRPr="00E40118">
        <w:rPr>
          <w:rFonts w:hint="cs"/>
          <w:rtl/>
        </w:rPr>
        <w:t>שהניב את הראיות שהובילו להרשעת המבקש בוצע באופן פגום כמעט מתחילתו ועד סופו</w:t>
      </w:r>
      <w:r w:rsidR="00E40118">
        <w:rPr>
          <w:rFonts w:hint="cs"/>
          <w:rtl/>
        </w:rPr>
        <w:t xml:space="preserve"> </w:t>
      </w:r>
      <w:r w:rsidR="00E40118">
        <w:rPr>
          <w:rtl/>
        </w:rPr>
        <w:t>–</w:t>
      </w:r>
      <w:r w:rsidR="00E40118">
        <w:rPr>
          <w:rFonts w:hint="cs"/>
          <w:rtl/>
        </w:rPr>
        <w:t xml:space="preserve"> </w:t>
      </w:r>
      <w:r w:rsidR="00F1578F">
        <w:rPr>
          <w:rFonts w:hint="cs"/>
          <w:rtl/>
        </w:rPr>
        <w:t xml:space="preserve">החל משלב הוצאת הצו, </w:t>
      </w:r>
      <w:r w:rsidR="00F5503D">
        <w:rPr>
          <w:rFonts w:hint="cs"/>
          <w:rtl/>
        </w:rPr>
        <w:t xml:space="preserve">דרך </w:t>
      </w:r>
      <w:r w:rsidR="005601DF">
        <w:rPr>
          <w:rFonts w:hint="cs"/>
          <w:rtl/>
        </w:rPr>
        <w:t xml:space="preserve">שלב </w:t>
      </w:r>
      <w:r w:rsidR="00F5503D">
        <w:rPr>
          <w:rFonts w:hint="cs"/>
          <w:rtl/>
        </w:rPr>
        <w:t xml:space="preserve">הכניסה </w:t>
      </w:r>
      <w:r w:rsidR="005601DF">
        <w:rPr>
          <w:rFonts w:hint="cs"/>
          <w:rtl/>
        </w:rPr>
        <w:t>לקרוואן שבו</w:t>
      </w:r>
      <w:r w:rsidR="00F1578F">
        <w:rPr>
          <w:rFonts w:hint="cs"/>
          <w:rtl/>
        </w:rPr>
        <w:t xml:space="preserve"> מתגורר המבקש </w:t>
      </w:r>
      <w:r w:rsidR="00F5503D">
        <w:rPr>
          <w:rFonts w:hint="cs"/>
          <w:rtl/>
        </w:rPr>
        <w:t>וכלה ב</w:t>
      </w:r>
      <w:r w:rsidR="005601DF">
        <w:rPr>
          <w:rFonts w:hint="cs"/>
          <w:rtl/>
        </w:rPr>
        <w:t xml:space="preserve">אופן </w:t>
      </w:r>
      <w:r w:rsidR="00F5503D">
        <w:rPr>
          <w:rFonts w:hint="cs"/>
          <w:rtl/>
        </w:rPr>
        <w:t>ביצוע החיפוש</w:t>
      </w:r>
      <w:r w:rsidR="005601DF">
        <w:rPr>
          <w:rFonts w:hint="cs"/>
          <w:rtl/>
        </w:rPr>
        <w:t xml:space="preserve"> לאחר מכן</w:t>
      </w:r>
      <w:r w:rsidR="00F5503D">
        <w:rPr>
          <w:rFonts w:hint="cs"/>
          <w:rtl/>
        </w:rPr>
        <w:t xml:space="preserve">. </w:t>
      </w:r>
    </w:p>
    <w:p w:rsidR="00320A94" w:rsidRDefault="00C3633C" w:rsidP="00DC1E54">
      <w:pPr>
        <w:pStyle w:val="Ruller41"/>
        <w:tabs>
          <w:tab w:val="clear" w:pos="907"/>
        </w:tabs>
        <w:overflowPunct/>
        <w:autoSpaceDE/>
        <w:autoSpaceDN/>
        <w:adjustRightInd/>
        <w:spacing w:after="420"/>
        <w:textAlignment w:val="auto"/>
      </w:pPr>
      <w:r>
        <w:rPr>
          <w:rtl/>
        </w:rPr>
        <w:tab/>
      </w:r>
      <w:r w:rsidR="00F5503D">
        <w:rPr>
          <w:rFonts w:hint="cs"/>
          <w:rtl/>
        </w:rPr>
        <w:t>לשיטתי</w:t>
      </w:r>
      <w:r w:rsidR="00E40118">
        <w:rPr>
          <w:rFonts w:hint="cs"/>
          <w:rtl/>
        </w:rPr>
        <w:t>,</w:t>
      </w:r>
      <w:r w:rsidR="00F5503D">
        <w:rPr>
          <w:rFonts w:hint="cs"/>
          <w:rtl/>
        </w:rPr>
        <w:t xml:space="preserve"> </w:t>
      </w:r>
      <w:r w:rsidR="00AB4DA0">
        <w:rPr>
          <w:rFonts w:hint="cs"/>
          <w:rtl/>
        </w:rPr>
        <w:t>אין מנוס מפסילת ראיות שהושגו באופן פסול שכזה</w:t>
      </w:r>
      <w:r w:rsidR="00E40118">
        <w:rPr>
          <w:rFonts w:hint="cs"/>
          <w:rtl/>
        </w:rPr>
        <w:t xml:space="preserve">, </w:t>
      </w:r>
      <w:r w:rsidR="00DC1E54">
        <w:rPr>
          <w:rFonts w:hint="cs"/>
          <w:rtl/>
        </w:rPr>
        <w:t>ומשכך יש</w:t>
      </w:r>
      <w:r w:rsidR="00EC5975">
        <w:rPr>
          <w:rFonts w:hint="cs"/>
          <w:rtl/>
        </w:rPr>
        <w:t xml:space="preserve"> לקבל את </w:t>
      </w:r>
      <w:r w:rsidR="000E36BB">
        <w:rPr>
          <w:rFonts w:hint="cs"/>
          <w:rtl/>
        </w:rPr>
        <w:t xml:space="preserve">הבקשה ואת </w:t>
      </w:r>
      <w:r w:rsidR="00EC5975">
        <w:rPr>
          <w:rFonts w:hint="cs"/>
          <w:rtl/>
        </w:rPr>
        <w:t>הערעור ו</w:t>
      </w:r>
      <w:r w:rsidR="00AB4DA0">
        <w:rPr>
          <w:rFonts w:hint="cs"/>
          <w:rtl/>
        </w:rPr>
        <w:t xml:space="preserve">לזכות את המבקש. </w:t>
      </w:r>
    </w:p>
    <w:p w:rsidR="000837EA" w:rsidRDefault="00320A94" w:rsidP="00760094">
      <w:pPr>
        <w:pStyle w:val="Ruller41"/>
        <w:numPr>
          <w:ilvl w:val="0"/>
          <w:numId w:val="11"/>
        </w:numPr>
        <w:overflowPunct/>
        <w:autoSpaceDE/>
        <w:autoSpaceDN/>
        <w:adjustRightInd/>
        <w:spacing w:after="420"/>
        <w:textAlignment w:val="auto"/>
        <w:rPr>
          <w:rtl/>
        </w:rPr>
      </w:pPr>
      <w:r>
        <w:rPr>
          <w:rFonts w:hint="cs"/>
          <w:rtl/>
        </w:rPr>
        <w:t xml:space="preserve">נגד המבקש הוגש כתב </w:t>
      </w:r>
      <w:r w:rsidR="000837EA">
        <w:rPr>
          <w:rFonts w:hint="cs"/>
          <w:rtl/>
        </w:rPr>
        <w:t xml:space="preserve">אישום המייחס לו עבירות של החזקה/שימוש בסמים שלא לצריכה עצמית וכן החזקת כלים להכנת סם </w:t>
      </w:r>
      <w:r w:rsidR="007F0991">
        <w:rPr>
          <w:rFonts w:hint="cs"/>
          <w:rtl/>
        </w:rPr>
        <w:t>ש</w:t>
      </w:r>
      <w:r w:rsidR="000837EA">
        <w:rPr>
          <w:rFonts w:hint="cs"/>
          <w:rtl/>
        </w:rPr>
        <w:t xml:space="preserve">לא לצריכה עצמית. בית משפט השלום ברמלה (ת"פ 26079-01-20; השופטת </w:t>
      </w:r>
      <w:r w:rsidR="000837EA" w:rsidRPr="000837EA">
        <w:rPr>
          <w:rFonts w:ascii="Century" w:hAnsi="Century" w:cs="Miriam" w:hint="cs"/>
          <w:b/>
          <w:spacing w:val="0"/>
          <w:sz w:val="22"/>
          <w:szCs w:val="24"/>
          <w:rtl/>
        </w:rPr>
        <w:t xml:space="preserve">ר' </w:t>
      </w:r>
      <w:proofErr w:type="spellStart"/>
      <w:r w:rsidR="000837EA" w:rsidRPr="000837EA">
        <w:rPr>
          <w:rFonts w:ascii="Century" w:hAnsi="Century" w:cs="Miriam" w:hint="cs"/>
          <w:b/>
          <w:spacing w:val="0"/>
          <w:sz w:val="22"/>
          <w:szCs w:val="24"/>
          <w:rtl/>
        </w:rPr>
        <w:t>גלט</w:t>
      </w:r>
      <w:proofErr w:type="spellEnd"/>
      <w:r w:rsidR="000837EA">
        <w:rPr>
          <w:rFonts w:hint="cs"/>
          <w:rtl/>
        </w:rPr>
        <w:t>) קבע כי "</w:t>
      </w:r>
      <w:r w:rsidR="000837EA" w:rsidRPr="000837EA">
        <w:rPr>
          <w:rFonts w:ascii="Century" w:hAnsi="Century" w:cs="Miriam" w:hint="cs"/>
          <w:b/>
          <w:spacing w:val="0"/>
          <w:sz w:val="22"/>
          <w:szCs w:val="24"/>
          <w:rtl/>
        </w:rPr>
        <w:t>נחצו קווים אדומים על ידי המשטרה</w:t>
      </w:r>
      <w:r w:rsidR="000837EA">
        <w:rPr>
          <w:rFonts w:hint="cs"/>
          <w:rtl/>
        </w:rPr>
        <w:t xml:space="preserve">" באופן המחייב את פסילת הסמים </w:t>
      </w:r>
      <w:r w:rsidR="00760094">
        <w:rPr>
          <w:rFonts w:hint="cs"/>
          <w:rtl/>
        </w:rPr>
        <w:t>ש</w:t>
      </w:r>
      <w:r w:rsidR="000837EA">
        <w:rPr>
          <w:rFonts w:hint="cs"/>
          <w:rtl/>
        </w:rPr>
        <w:t xml:space="preserve">נתפסו בחיפוש שבוצע </w:t>
      </w:r>
      <w:r w:rsidR="00325F79">
        <w:rPr>
          <w:rFonts w:hint="cs"/>
          <w:rtl/>
        </w:rPr>
        <w:t xml:space="preserve">בקרוואן </w:t>
      </w:r>
      <w:r w:rsidR="00760094">
        <w:rPr>
          <w:rFonts w:hint="cs"/>
          <w:rtl/>
        </w:rPr>
        <w:t>המשמש למגורי המבקש ובשל כך זיכה אותו מהעבירות שיוחסו לו</w:t>
      </w:r>
      <w:r w:rsidR="00325F79">
        <w:rPr>
          <w:rFonts w:hint="cs"/>
          <w:rtl/>
        </w:rPr>
        <w:t xml:space="preserve">. </w:t>
      </w:r>
      <w:r w:rsidR="008D7D28">
        <w:rPr>
          <w:rFonts w:hint="cs"/>
          <w:rtl/>
        </w:rPr>
        <w:t>המשיבה</w:t>
      </w:r>
      <w:r w:rsidR="000837EA">
        <w:rPr>
          <w:rFonts w:hint="cs"/>
          <w:rtl/>
        </w:rPr>
        <w:t xml:space="preserve"> ערערה לבית המשפט המחוזי מרכז-לוד על הכרעת הדין המזכה (ע"פ 10002-03-21; </w:t>
      </w:r>
      <w:r w:rsidR="000837EA">
        <w:rPr>
          <w:rtl/>
        </w:rPr>
        <w:t>השופט</w:t>
      </w:r>
      <w:r w:rsidR="000837EA">
        <w:rPr>
          <w:rFonts w:hint="cs"/>
          <w:rtl/>
        </w:rPr>
        <w:t xml:space="preserve">ים </w:t>
      </w:r>
      <w:r w:rsidR="000837EA" w:rsidRPr="00320A94">
        <w:rPr>
          <w:rFonts w:ascii="Century" w:hAnsi="Century" w:cs="Miriam" w:hint="cs"/>
          <w:b/>
          <w:spacing w:val="0"/>
          <w:sz w:val="22"/>
          <w:szCs w:val="24"/>
          <w:rtl/>
        </w:rPr>
        <w:t>מ' ברנט</w:t>
      </w:r>
      <w:r w:rsidR="000837EA">
        <w:rPr>
          <w:rFonts w:hint="cs"/>
          <w:rtl/>
        </w:rPr>
        <w:t xml:space="preserve">, </w:t>
      </w:r>
      <w:r w:rsidR="000837EA" w:rsidRPr="00320A94">
        <w:rPr>
          <w:rFonts w:ascii="Century" w:hAnsi="Century" w:cs="Miriam" w:hint="cs"/>
          <w:b/>
          <w:spacing w:val="0"/>
          <w:sz w:val="22"/>
          <w:szCs w:val="24"/>
          <w:rtl/>
        </w:rPr>
        <w:t xml:space="preserve">ש' </w:t>
      </w:r>
      <w:proofErr w:type="spellStart"/>
      <w:r w:rsidR="000837EA" w:rsidRPr="00320A94">
        <w:rPr>
          <w:rFonts w:ascii="Century" w:hAnsi="Century" w:cs="Miriam" w:hint="cs"/>
          <w:b/>
          <w:spacing w:val="0"/>
          <w:sz w:val="22"/>
          <w:szCs w:val="24"/>
          <w:rtl/>
        </w:rPr>
        <w:t>בורנשטין</w:t>
      </w:r>
      <w:proofErr w:type="spellEnd"/>
      <w:r w:rsidR="000837EA" w:rsidRPr="00320A94">
        <w:rPr>
          <w:rFonts w:hint="cs"/>
          <w:rtl/>
        </w:rPr>
        <w:t xml:space="preserve"> </w:t>
      </w:r>
      <w:r w:rsidR="000837EA">
        <w:rPr>
          <w:rFonts w:hint="cs"/>
          <w:rtl/>
        </w:rPr>
        <w:t>ו-</w:t>
      </w:r>
      <w:r w:rsidR="000837EA" w:rsidRPr="00320A94">
        <w:rPr>
          <w:rFonts w:ascii="Century" w:hAnsi="Century" w:cs="Miriam" w:hint="cs"/>
          <w:b/>
          <w:spacing w:val="0"/>
          <w:sz w:val="22"/>
          <w:szCs w:val="24"/>
          <w:rtl/>
        </w:rPr>
        <w:t>מ' קרשן</w:t>
      </w:r>
      <w:r w:rsidR="000837EA">
        <w:rPr>
          <w:rFonts w:hint="cs"/>
          <w:rtl/>
        </w:rPr>
        <w:t xml:space="preserve">) וערעורה התקבל תוך שנקבע כי החיפוש נעשה כדין. </w:t>
      </w:r>
      <w:r w:rsidR="00EC5975">
        <w:rPr>
          <w:rFonts w:hint="cs"/>
          <w:rtl/>
        </w:rPr>
        <w:t>משכך,</w:t>
      </w:r>
      <w:r w:rsidR="000837EA">
        <w:rPr>
          <w:rFonts w:hint="cs"/>
          <w:rtl/>
        </w:rPr>
        <w:t xml:space="preserve"> המבקש הורשע</w:t>
      </w:r>
      <w:r w:rsidR="00325F79">
        <w:rPr>
          <w:rFonts w:hint="cs"/>
          <w:rtl/>
        </w:rPr>
        <w:t xml:space="preserve"> בעבירות אשר</w:t>
      </w:r>
      <w:r w:rsidR="000837EA">
        <w:rPr>
          <w:rFonts w:hint="cs"/>
          <w:rtl/>
        </w:rPr>
        <w:t xml:space="preserve"> </w:t>
      </w:r>
      <w:r w:rsidR="00325F79">
        <w:rPr>
          <w:rFonts w:hint="cs"/>
          <w:rtl/>
        </w:rPr>
        <w:t>יוחסו לו</w:t>
      </w:r>
      <w:r w:rsidR="000837EA">
        <w:rPr>
          <w:rFonts w:hint="cs"/>
          <w:rtl/>
        </w:rPr>
        <w:t xml:space="preserve"> והדיון הוחזר לבית משפט השלום לגזירת העונש. </w:t>
      </w:r>
    </w:p>
    <w:p w:rsidR="000837EA" w:rsidRDefault="000837EA" w:rsidP="00760094">
      <w:pPr>
        <w:pStyle w:val="Ruller4"/>
        <w:rPr>
          <w:rtl/>
        </w:rPr>
      </w:pPr>
      <w:r>
        <w:rPr>
          <w:rtl/>
        </w:rPr>
        <w:tab/>
      </w:r>
      <w:r>
        <w:rPr>
          <w:rFonts w:hint="cs"/>
          <w:rtl/>
        </w:rPr>
        <w:t>בית משפט השלום גזר על המבקש ביום 26.12.</w:t>
      </w:r>
      <w:r w:rsidR="00820D1F">
        <w:rPr>
          <w:rFonts w:hint="cs"/>
          <w:rtl/>
        </w:rPr>
        <w:t>2022</w:t>
      </w:r>
      <w:r>
        <w:rPr>
          <w:rFonts w:hint="cs"/>
          <w:rtl/>
        </w:rPr>
        <w:t xml:space="preserve"> עונש של 4 חודשי מאסר בפועל לריצוי בדרך של עבודות שירות, לצד עונש מאסר על תנאי וענישה נלווית. ערע</w:t>
      </w:r>
      <w:r w:rsidR="00760094">
        <w:rPr>
          <w:rFonts w:hint="cs"/>
          <w:rtl/>
        </w:rPr>
        <w:t>ו</w:t>
      </w:r>
      <w:r>
        <w:rPr>
          <w:rFonts w:hint="cs"/>
          <w:rtl/>
        </w:rPr>
        <w:t xml:space="preserve">ר </w:t>
      </w:r>
      <w:r w:rsidR="00760094">
        <w:rPr>
          <w:rFonts w:hint="cs"/>
          <w:rtl/>
        </w:rPr>
        <w:t>המבקש על גזר דינו לבית המשפט המחוזי נדחה</w:t>
      </w:r>
      <w:r>
        <w:rPr>
          <w:rFonts w:hint="cs"/>
          <w:rtl/>
        </w:rPr>
        <w:t xml:space="preserve">. </w:t>
      </w:r>
    </w:p>
    <w:p w:rsidR="000837EA" w:rsidRDefault="000837EA" w:rsidP="000837EA">
      <w:pPr>
        <w:pStyle w:val="Ruller4"/>
        <w:rPr>
          <w:rtl/>
        </w:rPr>
      </w:pPr>
    </w:p>
    <w:p w:rsidR="000837EA" w:rsidRDefault="000837EA" w:rsidP="00A462B4">
      <w:pPr>
        <w:pStyle w:val="Ruller41"/>
        <w:numPr>
          <w:ilvl w:val="0"/>
          <w:numId w:val="11"/>
        </w:numPr>
        <w:overflowPunct/>
        <w:autoSpaceDE/>
        <w:autoSpaceDN/>
        <w:adjustRightInd/>
        <w:spacing w:after="420"/>
        <w:textAlignment w:val="auto"/>
        <w:rPr>
          <w:rtl/>
        </w:rPr>
      </w:pPr>
      <w:r>
        <w:rPr>
          <w:rFonts w:ascii="FrankRuehl" w:hAnsi="FrankRuehl"/>
          <w:color w:val="000000"/>
          <w:sz w:val="28"/>
          <w:rtl/>
        </w:rPr>
        <w:t xml:space="preserve">משראינו </w:t>
      </w:r>
      <w:proofErr w:type="spellStart"/>
      <w:r>
        <w:rPr>
          <w:rFonts w:ascii="FrankRuehl" w:hAnsi="FrankRuehl"/>
          <w:color w:val="000000"/>
          <w:sz w:val="28"/>
          <w:rtl/>
        </w:rPr>
        <w:t>ליתן</w:t>
      </w:r>
      <w:proofErr w:type="spellEnd"/>
      <w:r>
        <w:rPr>
          <w:rFonts w:ascii="FrankRuehl" w:hAnsi="FrankRuehl"/>
          <w:color w:val="000000"/>
          <w:sz w:val="28"/>
          <w:rtl/>
        </w:rPr>
        <w:t xml:space="preserve"> רשות ערעור וקיימנו דיון בבקשה כבערעור, </w:t>
      </w:r>
      <w:r>
        <w:rPr>
          <w:rFonts w:ascii="FrankRuehl" w:hAnsi="FrankRuehl" w:hint="cs"/>
          <w:color w:val="000000"/>
          <w:sz w:val="28"/>
          <w:rtl/>
        </w:rPr>
        <w:t>המבקש</w:t>
      </w:r>
      <w:r>
        <w:rPr>
          <w:rFonts w:ascii="FrankRuehl" w:hAnsi="FrankRuehl"/>
          <w:color w:val="000000"/>
          <w:sz w:val="28"/>
          <w:rtl/>
        </w:rPr>
        <w:t xml:space="preserve"> </w:t>
      </w:r>
      <w:r>
        <w:rPr>
          <w:rFonts w:ascii="FrankRuehl" w:hAnsi="FrankRuehl" w:hint="cs"/>
          <w:color w:val="000000"/>
          <w:sz w:val="28"/>
          <w:rtl/>
        </w:rPr>
        <w:t>יכונה</w:t>
      </w:r>
      <w:r>
        <w:rPr>
          <w:rFonts w:ascii="FrankRuehl" w:hAnsi="FrankRuehl"/>
          <w:color w:val="000000"/>
          <w:sz w:val="28"/>
          <w:rtl/>
        </w:rPr>
        <w:t xml:space="preserve"> מכאן ואילך</w:t>
      </w:r>
      <w:r>
        <w:rPr>
          <w:rFonts w:ascii="FrankRuehl" w:hAnsi="FrankRuehl"/>
          <w:color w:val="000000"/>
          <w:sz w:val="28"/>
        </w:rPr>
        <w:t xml:space="preserve"> – </w:t>
      </w:r>
      <w:r w:rsidRPr="000837EA">
        <w:rPr>
          <w:rFonts w:ascii="Century" w:hAnsi="Century" w:cs="Miriam" w:hint="cs"/>
          <w:b/>
          <w:spacing w:val="0"/>
          <w:szCs w:val="24"/>
          <w:rtl/>
        </w:rPr>
        <w:t>המערער</w:t>
      </w:r>
      <w:r>
        <w:rPr>
          <w:rFonts w:ascii="FrankRuehl" w:hAnsi="FrankRuehl"/>
          <w:color w:val="000000"/>
          <w:sz w:val="28"/>
        </w:rPr>
        <w:t>.</w:t>
      </w:r>
    </w:p>
    <w:p w:rsidR="000837EA" w:rsidRDefault="000837EA" w:rsidP="000837EA">
      <w:pPr>
        <w:pStyle w:val="Ruller4"/>
        <w:rPr>
          <w:rtl/>
        </w:rPr>
      </w:pPr>
      <w:r>
        <w:rPr>
          <w:rFonts w:cs="Miriam" w:hint="cs"/>
          <w:b/>
          <w:spacing w:val="0"/>
          <w:szCs w:val="24"/>
          <w:rtl/>
        </w:rPr>
        <w:t xml:space="preserve">עיקרי כתב האישום </w:t>
      </w:r>
    </w:p>
    <w:p w:rsidR="000837EA" w:rsidRPr="000837EA" w:rsidRDefault="000837EA" w:rsidP="000837EA">
      <w:pPr>
        <w:pStyle w:val="Ruller4"/>
      </w:pPr>
    </w:p>
    <w:p w:rsidR="000837EA" w:rsidRPr="000837EA" w:rsidRDefault="000837EA" w:rsidP="003266BD">
      <w:pPr>
        <w:pStyle w:val="Ruller41"/>
        <w:numPr>
          <w:ilvl w:val="0"/>
          <w:numId w:val="11"/>
        </w:numPr>
        <w:overflowPunct/>
        <w:autoSpaceDE/>
        <w:autoSpaceDN/>
        <w:adjustRightInd/>
        <w:spacing w:after="420"/>
        <w:textAlignment w:val="auto"/>
        <w:rPr>
          <w:rtl/>
        </w:rPr>
      </w:pPr>
      <w:r>
        <w:rPr>
          <w:rFonts w:hint="cs"/>
          <w:rtl/>
        </w:rPr>
        <w:t xml:space="preserve">כתב האישום הוגש נגד המערער ואדם נוסף </w:t>
      </w:r>
      <w:r>
        <w:rPr>
          <w:rtl/>
        </w:rPr>
        <w:t>–</w:t>
      </w:r>
      <w:r>
        <w:rPr>
          <w:rFonts w:hint="cs"/>
          <w:rtl/>
        </w:rPr>
        <w:t xml:space="preserve"> דוד שלתיאל (להלן: </w:t>
      </w:r>
      <w:r w:rsidRPr="000837EA">
        <w:rPr>
          <w:rFonts w:ascii="Century" w:hAnsi="Century" w:cs="Miriam" w:hint="cs"/>
          <w:b/>
          <w:spacing w:val="0"/>
          <w:sz w:val="22"/>
          <w:szCs w:val="24"/>
          <w:rtl/>
        </w:rPr>
        <w:t>שלתיאל</w:t>
      </w:r>
      <w:r>
        <w:rPr>
          <w:rFonts w:hint="cs"/>
          <w:rtl/>
        </w:rPr>
        <w:t>). לפיו, השניים התגוררו במועד הרלוונטי ב</w:t>
      </w:r>
      <w:r w:rsidR="00325F79">
        <w:rPr>
          <w:rFonts w:hint="cs"/>
          <w:rtl/>
        </w:rPr>
        <w:t xml:space="preserve">מתחם שבו </w:t>
      </w:r>
      <w:r>
        <w:rPr>
          <w:rFonts w:hint="cs"/>
          <w:rtl/>
        </w:rPr>
        <w:t>שני ק</w:t>
      </w:r>
      <w:r w:rsidR="00EC5975">
        <w:rPr>
          <w:rFonts w:hint="cs"/>
          <w:rtl/>
        </w:rPr>
        <w:t>רוואנים ברח</w:t>
      </w:r>
      <w:r w:rsidR="003266BD">
        <w:rPr>
          <w:rFonts w:hint="cs"/>
          <w:rtl/>
        </w:rPr>
        <w:t>וב</w:t>
      </w:r>
      <w:r w:rsidR="00EC5975">
        <w:rPr>
          <w:rFonts w:hint="cs"/>
          <w:rtl/>
        </w:rPr>
        <w:t xml:space="preserve"> הקישון במושב ישרש </w:t>
      </w:r>
      <w:r w:rsidR="00EC5975">
        <w:rPr>
          <w:rtl/>
        </w:rPr>
        <w:t>–</w:t>
      </w:r>
      <w:r w:rsidR="00EC5975">
        <w:rPr>
          <w:rFonts w:hint="cs"/>
          <w:rtl/>
        </w:rPr>
        <w:t xml:space="preserve"> </w:t>
      </w:r>
      <w:r>
        <w:rPr>
          <w:rFonts w:hint="cs"/>
          <w:rtl/>
        </w:rPr>
        <w:t>המערער התגורר בקרוואן בצד השמאלי של המתחם ושלתיאל התגורר בקרוואן בצד הימני של המתחם.</w:t>
      </w:r>
      <w:r w:rsidR="00325F79">
        <w:rPr>
          <w:rFonts w:hint="cs"/>
          <w:rtl/>
        </w:rPr>
        <w:t xml:space="preserve"> </w:t>
      </w:r>
    </w:p>
    <w:p w:rsidR="000837EA" w:rsidRDefault="000837EA" w:rsidP="003E48C2">
      <w:pPr>
        <w:pStyle w:val="Ruller41"/>
        <w:numPr>
          <w:ilvl w:val="0"/>
          <w:numId w:val="11"/>
        </w:numPr>
        <w:overflowPunct/>
        <w:autoSpaceDE/>
        <w:autoSpaceDN/>
        <w:adjustRightInd/>
        <w:spacing w:after="420"/>
        <w:textAlignment w:val="auto"/>
        <w:rPr>
          <w:rtl/>
        </w:rPr>
      </w:pPr>
      <w:r>
        <w:rPr>
          <w:rFonts w:hint="cs"/>
          <w:rtl/>
        </w:rPr>
        <w:t>ביום 30.12.2019 בשעה 2:00 או סמוך לכך, הגיעו השוטרים למתחם</w:t>
      </w:r>
      <w:r w:rsidR="00325F79">
        <w:rPr>
          <w:rFonts w:hint="cs"/>
          <w:rtl/>
        </w:rPr>
        <w:t xml:space="preserve"> האמור</w:t>
      </w:r>
      <w:r>
        <w:rPr>
          <w:rFonts w:hint="cs"/>
          <w:rtl/>
        </w:rPr>
        <w:t xml:space="preserve"> </w:t>
      </w:r>
      <w:r w:rsidR="003E48C2">
        <w:rPr>
          <w:rFonts w:hint="cs"/>
          <w:rtl/>
        </w:rPr>
        <w:t>מצוידים</w:t>
      </w:r>
      <w:r>
        <w:rPr>
          <w:rFonts w:hint="cs"/>
          <w:rtl/>
        </w:rPr>
        <w:t xml:space="preserve"> </w:t>
      </w:r>
      <w:r w:rsidR="003E48C2">
        <w:rPr>
          <w:rFonts w:hint="cs"/>
          <w:rtl/>
        </w:rPr>
        <w:t>ב</w:t>
      </w:r>
      <w:r>
        <w:rPr>
          <w:rFonts w:hint="cs"/>
          <w:rtl/>
        </w:rPr>
        <w:t>צו חיפוש והחלו לחפש בשני הקרוואנים. ב</w:t>
      </w:r>
      <w:r w:rsidR="0016693F">
        <w:rPr>
          <w:rFonts w:hint="cs"/>
          <w:rtl/>
        </w:rPr>
        <w:t>רחבי ה</w:t>
      </w:r>
      <w:r>
        <w:rPr>
          <w:rFonts w:hint="cs"/>
          <w:rtl/>
        </w:rPr>
        <w:t>קרוואן שבו התגורר המערער נתפסו</w:t>
      </w:r>
      <w:r w:rsidR="0016693F">
        <w:rPr>
          <w:rFonts w:hint="cs"/>
          <w:rtl/>
        </w:rPr>
        <w:t xml:space="preserve"> </w:t>
      </w:r>
      <w:r>
        <w:rPr>
          <w:rFonts w:hint="cs"/>
          <w:rtl/>
        </w:rPr>
        <w:t>סמים מסוכנים מסוג קנבוס במשקל כולל של כ-865 גרם נטו וחש</w:t>
      </w:r>
      <w:r w:rsidR="003266BD">
        <w:rPr>
          <w:rFonts w:hint="cs"/>
          <w:rtl/>
        </w:rPr>
        <w:t>י</w:t>
      </w:r>
      <w:r w:rsidR="00325F79">
        <w:rPr>
          <w:rFonts w:hint="cs"/>
          <w:rtl/>
        </w:rPr>
        <w:t xml:space="preserve">ש במשקל כולל של כ-1.37 גרם נטו. </w:t>
      </w:r>
      <w:r>
        <w:rPr>
          <w:rFonts w:hint="cs"/>
          <w:rtl/>
        </w:rPr>
        <w:t xml:space="preserve">בקרוואן שבו התגורר שלתיאל, נתפסו סמים מסוכנים מסוג קנבוס במספר מקומות, במשקל כולל של כ-14 ק"ג נטו, וכן מדבקות לקופסאות חלוקה של סמים, קופסאות פח ומכסי פח ושני אקדחים אשר בכל אחד מהם מחסנית טעונה. </w:t>
      </w:r>
    </w:p>
    <w:p w:rsidR="000837EA" w:rsidRDefault="000837EA" w:rsidP="000837EA">
      <w:pPr>
        <w:pStyle w:val="Ruller4"/>
        <w:rPr>
          <w:rtl/>
        </w:rPr>
      </w:pPr>
    </w:p>
    <w:p w:rsidR="000837EA" w:rsidRPr="000837EA" w:rsidRDefault="000837EA" w:rsidP="00166BBE">
      <w:pPr>
        <w:pStyle w:val="Ruller41"/>
        <w:numPr>
          <w:ilvl w:val="0"/>
          <w:numId w:val="11"/>
        </w:numPr>
        <w:overflowPunct/>
        <w:autoSpaceDE/>
        <w:autoSpaceDN/>
        <w:adjustRightInd/>
        <w:spacing w:after="420"/>
        <w:textAlignment w:val="auto"/>
        <w:rPr>
          <w:rFonts w:ascii="Arial TUR" w:hAnsi="Arial TUR"/>
          <w:sz w:val="22"/>
          <w:rtl/>
        </w:rPr>
      </w:pPr>
      <w:r w:rsidRPr="000837EA">
        <w:rPr>
          <w:rFonts w:ascii="Arial TUR" w:hAnsi="Arial TUR" w:hint="cs"/>
          <w:sz w:val="22"/>
          <w:rtl/>
        </w:rPr>
        <w:t xml:space="preserve">למערער </w:t>
      </w:r>
      <w:r w:rsidR="00760094">
        <w:rPr>
          <w:rFonts w:ascii="Arial TUR" w:hAnsi="Arial TUR" w:hint="cs"/>
          <w:sz w:val="22"/>
          <w:rtl/>
        </w:rPr>
        <w:t xml:space="preserve">יוחסו כאמור </w:t>
      </w:r>
      <w:r w:rsidRPr="000837EA">
        <w:rPr>
          <w:rFonts w:ascii="Arial TUR" w:hAnsi="Arial TUR" w:hint="cs"/>
          <w:sz w:val="22"/>
          <w:rtl/>
        </w:rPr>
        <w:t>עבירות של החזקה/שימוש בסמים שלא לצר</w:t>
      </w:r>
      <w:r>
        <w:rPr>
          <w:rFonts w:hint="cs"/>
          <w:rtl/>
        </w:rPr>
        <w:t>יכ</w:t>
      </w:r>
      <w:r w:rsidRPr="000837EA">
        <w:rPr>
          <w:rFonts w:ascii="Arial TUR" w:hAnsi="Arial TUR" w:hint="cs"/>
          <w:sz w:val="22"/>
          <w:rtl/>
        </w:rPr>
        <w:t>ה עצמית, לפי סעיפים 7(א) ו-7(ג) רישא ל</w:t>
      </w:r>
      <w:r w:rsidRPr="000837EA">
        <w:rPr>
          <w:rFonts w:ascii="Arial TUR" w:hAnsi="Arial TUR"/>
          <w:sz w:val="22"/>
          <w:rtl/>
        </w:rPr>
        <w:t xml:space="preserve">פקודת הסמים המסוכנים [נוסח חדש], </w:t>
      </w:r>
      <w:r>
        <w:rPr>
          <w:rFonts w:hint="cs"/>
          <w:rtl/>
        </w:rPr>
        <w:t>ה</w:t>
      </w:r>
      <w:r w:rsidRPr="000837EA">
        <w:rPr>
          <w:rFonts w:ascii="Arial TUR" w:hAnsi="Arial TUR"/>
          <w:sz w:val="22"/>
          <w:rtl/>
        </w:rPr>
        <w:t>תשל"ג-1973</w:t>
      </w:r>
      <w:r>
        <w:rPr>
          <w:rFonts w:hint="cs"/>
          <w:rtl/>
        </w:rPr>
        <w:t xml:space="preserve"> (להלן: </w:t>
      </w:r>
      <w:r w:rsidRPr="000837EA">
        <w:rPr>
          <w:rFonts w:ascii="Century" w:hAnsi="Century" w:cs="Miriam" w:hint="cs"/>
          <w:b/>
          <w:spacing w:val="0"/>
          <w:sz w:val="22"/>
          <w:szCs w:val="24"/>
          <w:rtl/>
        </w:rPr>
        <w:t>פקודת הסמים המסוכנים</w:t>
      </w:r>
      <w:r>
        <w:rPr>
          <w:rFonts w:hint="cs"/>
          <w:rtl/>
        </w:rPr>
        <w:t xml:space="preserve">); וכן החזקת כלים להכנת סם שלא לצריכה עצמית, לפי סעיף 10 רישא לפקודת הסמים המסוכנים. </w:t>
      </w:r>
    </w:p>
    <w:p w:rsidR="000837EA" w:rsidRDefault="000837EA" w:rsidP="00FA2B41">
      <w:pPr>
        <w:pStyle w:val="Ruller4"/>
        <w:rPr>
          <w:rFonts w:cs="Miriam"/>
          <w:b/>
          <w:spacing w:val="0"/>
          <w:szCs w:val="24"/>
          <w:rtl/>
        </w:rPr>
      </w:pPr>
      <w:r w:rsidRPr="000837EA">
        <w:rPr>
          <w:rFonts w:cs="Miriam" w:hint="cs"/>
          <w:b/>
          <w:spacing w:val="0"/>
          <w:szCs w:val="24"/>
          <w:rtl/>
        </w:rPr>
        <w:t xml:space="preserve">תמצית </w:t>
      </w:r>
      <w:r w:rsidR="00FA2B41">
        <w:rPr>
          <w:rFonts w:cs="Miriam" w:hint="cs"/>
          <w:b/>
          <w:spacing w:val="0"/>
          <w:szCs w:val="24"/>
          <w:rtl/>
        </w:rPr>
        <w:t>הרקע העובדתי</w:t>
      </w:r>
    </w:p>
    <w:p w:rsidR="000837EA" w:rsidRDefault="000837EA" w:rsidP="000837EA">
      <w:pPr>
        <w:pStyle w:val="Ruller4"/>
        <w:rPr>
          <w:rFonts w:cs="Miriam"/>
          <w:b/>
          <w:spacing w:val="0"/>
          <w:szCs w:val="24"/>
          <w:rtl/>
        </w:rPr>
      </w:pPr>
    </w:p>
    <w:p w:rsidR="00F40BD9" w:rsidRDefault="004B729E" w:rsidP="00760094">
      <w:pPr>
        <w:pStyle w:val="Ruller41"/>
        <w:numPr>
          <w:ilvl w:val="0"/>
          <w:numId w:val="11"/>
        </w:numPr>
        <w:overflowPunct/>
        <w:autoSpaceDE/>
        <w:autoSpaceDN/>
        <w:adjustRightInd/>
        <w:spacing w:after="420"/>
        <w:textAlignment w:val="auto"/>
        <w:rPr>
          <w:rtl/>
        </w:rPr>
      </w:pPr>
      <w:r w:rsidRPr="004B729E">
        <w:rPr>
          <w:rFonts w:ascii="Century" w:hAnsi="Century" w:cs="Miriam" w:hint="cs"/>
          <w:b/>
          <w:spacing w:val="0"/>
          <w:sz w:val="22"/>
          <w:szCs w:val="24"/>
          <w:rtl/>
        </w:rPr>
        <w:t>צו החיפוש</w:t>
      </w:r>
      <w:r>
        <w:rPr>
          <w:rFonts w:ascii="Arial TUR" w:hAnsi="Arial TUR" w:hint="cs"/>
          <w:sz w:val="22"/>
          <w:rtl/>
        </w:rPr>
        <w:t xml:space="preserve">: ביום 17.12.2019 הגישה המשטרה בקשה להוצאת צו חיפוש. </w:t>
      </w:r>
      <w:r w:rsidR="00884E3A">
        <w:rPr>
          <w:rFonts w:ascii="Arial TUR" w:hAnsi="Arial TUR" w:hint="cs"/>
          <w:sz w:val="22"/>
          <w:rtl/>
        </w:rPr>
        <w:t>בבקשה הצהיר</w:t>
      </w:r>
      <w:r>
        <w:rPr>
          <w:rFonts w:hint="cs"/>
          <w:rtl/>
        </w:rPr>
        <w:t xml:space="preserve"> רס"ל דוד שושן</w:t>
      </w:r>
      <w:r w:rsidR="00EC5975">
        <w:rPr>
          <w:rFonts w:hint="cs"/>
          <w:rtl/>
        </w:rPr>
        <w:t xml:space="preserve"> (להלן: </w:t>
      </w:r>
      <w:r w:rsidR="00EC5975" w:rsidRPr="00EC5975">
        <w:rPr>
          <w:rFonts w:ascii="Century" w:hAnsi="Century" w:cs="Miriam" w:hint="cs"/>
          <w:b/>
          <w:spacing w:val="0"/>
          <w:sz w:val="22"/>
          <w:szCs w:val="24"/>
          <w:rtl/>
        </w:rPr>
        <w:t>שושן</w:t>
      </w:r>
      <w:r w:rsidR="00EC5975" w:rsidRPr="00EC5975">
        <w:rPr>
          <w:rFonts w:hint="cs"/>
          <w:rtl/>
        </w:rPr>
        <w:t>)</w:t>
      </w:r>
      <w:r w:rsidRPr="00EC5975">
        <w:rPr>
          <w:rFonts w:hint="cs"/>
          <w:rtl/>
        </w:rPr>
        <w:t xml:space="preserve">, </w:t>
      </w:r>
      <w:r>
        <w:rPr>
          <w:rFonts w:hint="cs"/>
          <w:rtl/>
        </w:rPr>
        <w:t xml:space="preserve">החתום על הבקשה, כי שלתיאל, מרחוב קישון במושב ישרש, </w:t>
      </w:r>
      <w:r w:rsidR="00760094">
        <w:rPr>
          <w:rFonts w:hint="cs"/>
          <w:rtl/>
        </w:rPr>
        <w:t>"</w:t>
      </w:r>
      <w:r>
        <w:rPr>
          <w:rFonts w:hint="cs"/>
          <w:rtl/>
        </w:rPr>
        <w:t>עוסק בסחר בסמים</w:t>
      </w:r>
      <w:r w:rsidR="00760094">
        <w:rPr>
          <w:rFonts w:hint="cs"/>
          <w:rtl/>
        </w:rPr>
        <w:t>"</w:t>
      </w:r>
      <w:r>
        <w:rPr>
          <w:rFonts w:hint="cs"/>
          <w:rtl/>
        </w:rPr>
        <w:t xml:space="preserve">. בית המשפט </w:t>
      </w:r>
      <w:r w:rsidR="00EC5975">
        <w:rPr>
          <w:rFonts w:hint="cs"/>
          <w:rtl/>
        </w:rPr>
        <w:t xml:space="preserve">התבקש </w:t>
      </w:r>
      <w:proofErr w:type="spellStart"/>
      <w:r w:rsidR="00760094">
        <w:rPr>
          <w:rFonts w:hint="cs"/>
          <w:rtl/>
        </w:rPr>
        <w:t>ליתן</w:t>
      </w:r>
      <w:proofErr w:type="spellEnd"/>
      <w:r w:rsidR="00760094">
        <w:rPr>
          <w:rFonts w:hint="cs"/>
          <w:rtl/>
        </w:rPr>
        <w:t xml:space="preserve"> צו המאפשר</w:t>
      </w:r>
      <w:r>
        <w:rPr>
          <w:rFonts w:hint="cs"/>
          <w:rtl/>
        </w:rPr>
        <w:t xml:space="preserve"> עריכת חיפוש </w:t>
      </w:r>
      <w:r w:rsidR="00760094">
        <w:rPr>
          <w:rFonts w:hint="cs"/>
          <w:rtl/>
        </w:rPr>
        <w:t xml:space="preserve">כדין </w:t>
      </w:r>
      <w:r>
        <w:rPr>
          <w:rFonts w:hint="cs"/>
          <w:rtl/>
        </w:rPr>
        <w:t xml:space="preserve">בכתובת </w:t>
      </w:r>
      <w:r w:rsidR="00760094">
        <w:rPr>
          <w:rFonts w:hint="cs"/>
          <w:rtl/>
        </w:rPr>
        <w:t>ש</w:t>
      </w:r>
      <w:r>
        <w:rPr>
          <w:rFonts w:hint="cs"/>
          <w:rtl/>
        </w:rPr>
        <w:t xml:space="preserve">פרטיה צוינו </w:t>
      </w:r>
      <w:r w:rsidR="00884E3A">
        <w:rPr>
          <w:rFonts w:hint="cs"/>
          <w:rtl/>
        </w:rPr>
        <w:t>בתצלום אוויר</w:t>
      </w:r>
      <w:r>
        <w:rPr>
          <w:rFonts w:hint="cs"/>
          <w:rtl/>
        </w:rPr>
        <w:t xml:space="preserve"> </w:t>
      </w:r>
      <w:r w:rsidR="00C37A10">
        <w:rPr>
          <w:rFonts w:hint="cs"/>
          <w:rtl/>
        </w:rPr>
        <w:t xml:space="preserve">(המכונה גם </w:t>
      </w:r>
      <w:r w:rsidR="00C37A10">
        <w:rPr>
          <w:rtl/>
        </w:rPr>
        <w:t>–</w:t>
      </w:r>
      <w:r w:rsidR="00C37A10">
        <w:rPr>
          <w:rFonts w:hint="cs"/>
          <w:rtl/>
        </w:rPr>
        <w:t xml:space="preserve"> </w:t>
      </w:r>
      <w:r w:rsidR="00C37A10" w:rsidRPr="00C37A10">
        <w:rPr>
          <w:rFonts w:ascii="Century" w:hAnsi="Century" w:cs="Miriam" w:hint="cs"/>
          <w:b/>
          <w:spacing w:val="0"/>
          <w:sz w:val="22"/>
          <w:szCs w:val="24"/>
          <w:rtl/>
        </w:rPr>
        <w:t>תצ"א</w:t>
      </w:r>
      <w:r w:rsidR="00C37A10">
        <w:rPr>
          <w:rFonts w:hint="cs"/>
          <w:rtl/>
        </w:rPr>
        <w:t xml:space="preserve">) </w:t>
      </w:r>
      <w:r w:rsidR="00D52805">
        <w:rPr>
          <w:rFonts w:hint="cs"/>
          <w:rtl/>
        </w:rPr>
        <w:t>שצורף לבקשה</w:t>
      </w:r>
      <w:r w:rsidR="00325F79">
        <w:rPr>
          <w:rFonts w:hint="cs"/>
          <w:rtl/>
        </w:rPr>
        <w:t>.</w:t>
      </w:r>
      <w:r w:rsidR="00EC5975">
        <w:rPr>
          <w:rFonts w:hint="cs"/>
          <w:rtl/>
        </w:rPr>
        <w:t xml:space="preserve"> </w:t>
      </w:r>
      <w:r>
        <w:rPr>
          <w:rFonts w:hint="cs"/>
          <w:rtl/>
        </w:rPr>
        <w:t xml:space="preserve">פרטי המקום </w:t>
      </w:r>
      <w:r w:rsidR="00325F79">
        <w:rPr>
          <w:rFonts w:hint="cs"/>
          <w:rtl/>
        </w:rPr>
        <w:t>תוארו כך</w:t>
      </w:r>
      <w:r>
        <w:rPr>
          <w:rFonts w:hint="cs"/>
          <w:rtl/>
        </w:rPr>
        <w:t>: "</w:t>
      </w:r>
      <w:r w:rsidRPr="004B729E">
        <w:rPr>
          <w:rFonts w:ascii="Century" w:hAnsi="Century" w:cs="Miriam" w:hint="cs"/>
          <w:b/>
          <w:spacing w:val="0"/>
          <w:sz w:val="22"/>
          <w:szCs w:val="24"/>
          <w:rtl/>
        </w:rPr>
        <w:t>קישון, ישרש (תצ"א מצורפת) שטח, יח' דיור ומחסנים</w:t>
      </w:r>
      <w:r>
        <w:rPr>
          <w:rFonts w:hint="cs"/>
          <w:rtl/>
        </w:rPr>
        <w:t xml:space="preserve">". </w:t>
      </w:r>
      <w:r w:rsidR="00884E3A">
        <w:rPr>
          <w:rFonts w:hint="cs"/>
          <w:rtl/>
        </w:rPr>
        <w:t>עוד צורף לבקשה מזכר</w:t>
      </w:r>
      <w:r w:rsidR="00325F79">
        <w:rPr>
          <w:rFonts w:hint="cs"/>
          <w:rtl/>
        </w:rPr>
        <w:t xml:space="preserve"> הבהרה</w:t>
      </w:r>
      <w:r w:rsidR="00884E3A">
        <w:rPr>
          <w:rFonts w:hint="cs"/>
          <w:rtl/>
        </w:rPr>
        <w:t xml:space="preserve"> </w:t>
      </w:r>
      <w:r w:rsidR="00325F79">
        <w:rPr>
          <w:rFonts w:hint="cs"/>
          <w:rtl/>
        </w:rPr>
        <w:t>בחתימת</w:t>
      </w:r>
      <w:r w:rsidR="00884E3A">
        <w:rPr>
          <w:rFonts w:hint="cs"/>
          <w:rtl/>
        </w:rPr>
        <w:t xml:space="preserve"> שושן, שבו נכתב: "</w:t>
      </w:r>
      <w:r w:rsidR="00884E3A" w:rsidRPr="00884E3A">
        <w:rPr>
          <w:rFonts w:ascii="Century" w:hAnsi="Century" w:cs="Miriam" w:hint="cs"/>
          <w:b/>
          <w:spacing w:val="0"/>
          <w:sz w:val="22"/>
          <w:szCs w:val="24"/>
          <w:rtl/>
        </w:rPr>
        <w:t xml:space="preserve">ע"פ הצבעה של המקור סומן השטח בתצ"א המצורפת כמקום מגוריו של דוד שלתיאל [...] לציין שזה מעבר לכל ספק מקום מגוריו הנוכחי של הנ"ל. הנ"ל משכיר שם את </w:t>
      </w:r>
      <w:proofErr w:type="spellStart"/>
      <w:r w:rsidR="00884E3A" w:rsidRPr="00884E3A">
        <w:rPr>
          <w:rFonts w:ascii="Century" w:hAnsi="Century" w:cs="Miriam" w:hint="cs"/>
          <w:b/>
          <w:spacing w:val="0"/>
          <w:sz w:val="22"/>
          <w:szCs w:val="24"/>
          <w:rtl/>
        </w:rPr>
        <w:t>היחידת</w:t>
      </w:r>
      <w:proofErr w:type="spellEnd"/>
      <w:r w:rsidR="00884E3A" w:rsidRPr="00884E3A">
        <w:rPr>
          <w:rFonts w:ascii="Century" w:hAnsi="Century" w:cs="Miriam" w:hint="cs"/>
          <w:b/>
          <w:spacing w:val="0"/>
          <w:sz w:val="22"/>
          <w:szCs w:val="24"/>
          <w:rtl/>
        </w:rPr>
        <w:t xml:space="preserve"> דיור ללא חוזה</w:t>
      </w:r>
      <w:r w:rsidR="00F40BD9">
        <w:rPr>
          <w:rFonts w:hint="cs"/>
          <w:rtl/>
        </w:rPr>
        <w:t>"</w:t>
      </w:r>
      <w:r w:rsidR="00D52805">
        <w:rPr>
          <w:rFonts w:hint="cs"/>
          <w:rtl/>
        </w:rPr>
        <w:t>.</w:t>
      </w:r>
      <w:r w:rsidR="00F40BD9">
        <w:rPr>
          <w:rFonts w:hint="cs"/>
          <w:rtl/>
        </w:rPr>
        <w:t xml:space="preserve"> </w:t>
      </w:r>
      <w:r w:rsidR="00760094">
        <w:rPr>
          <w:rFonts w:hint="cs"/>
          <w:rtl/>
        </w:rPr>
        <w:t>יודגש, כי</w:t>
      </w:r>
      <w:r w:rsidR="00325F79">
        <w:rPr>
          <w:rFonts w:hint="cs"/>
          <w:rtl/>
        </w:rPr>
        <w:t xml:space="preserve"> </w:t>
      </w:r>
      <w:r w:rsidR="00F40BD9">
        <w:rPr>
          <w:rFonts w:hint="cs"/>
          <w:rtl/>
        </w:rPr>
        <w:t>במועד הגשת הבקשה הוצג</w:t>
      </w:r>
      <w:r w:rsidR="00884E3A">
        <w:rPr>
          <w:rFonts w:hint="cs"/>
          <w:rtl/>
        </w:rPr>
        <w:t xml:space="preserve"> בפני השופטת</w:t>
      </w:r>
      <w:r w:rsidR="00940103">
        <w:rPr>
          <w:rFonts w:hint="cs"/>
          <w:rtl/>
        </w:rPr>
        <w:t xml:space="preserve"> </w:t>
      </w:r>
      <w:r w:rsidR="00940103" w:rsidRPr="00940103">
        <w:rPr>
          <w:rFonts w:ascii="Century" w:hAnsi="Century" w:cs="Miriam" w:hint="cs"/>
          <w:b/>
          <w:spacing w:val="0"/>
          <w:sz w:val="22"/>
          <w:szCs w:val="24"/>
          <w:rtl/>
        </w:rPr>
        <w:t>ז'</w:t>
      </w:r>
      <w:r w:rsidR="00884E3A">
        <w:rPr>
          <w:rFonts w:hint="cs"/>
          <w:rtl/>
        </w:rPr>
        <w:t xml:space="preserve"> </w:t>
      </w:r>
      <w:r w:rsidR="00884E3A" w:rsidRPr="00324607">
        <w:rPr>
          <w:rFonts w:ascii="Century" w:hAnsi="Century" w:cs="Miriam" w:hint="cs"/>
          <w:b/>
          <w:spacing w:val="0"/>
          <w:sz w:val="22"/>
          <w:szCs w:val="24"/>
          <w:rtl/>
        </w:rPr>
        <w:t xml:space="preserve">דיבון </w:t>
      </w:r>
      <w:r w:rsidR="00F40BD9" w:rsidRPr="00324607">
        <w:rPr>
          <w:rFonts w:ascii="Century" w:hAnsi="Century" w:cs="Miriam" w:hint="cs"/>
          <w:b/>
          <w:spacing w:val="0"/>
          <w:sz w:val="22"/>
          <w:szCs w:val="24"/>
          <w:rtl/>
        </w:rPr>
        <w:t>סגל</w:t>
      </w:r>
      <w:r w:rsidR="00F40BD9" w:rsidRPr="00324607">
        <w:rPr>
          <w:rFonts w:hint="cs"/>
          <w:rtl/>
        </w:rPr>
        <w:t xml:space="preserve"> </w:t>
      </w:r>
      <w:r w:rsidR="00F40BD9">
        <w:rPr>
          <w:rFonts w:hint="cs"/>
          <w:rtl/>
        </w:rPr>
        <w:t>מידע מוד</w:t>
      </w:r>
      <w:r w:rsidR="00EC5975">
        <w:rPr>
          <w:rFonts w:hint="cs"/>
          <w:rtl/>
        </w:rPr>
        <w:t>יעיני לגביו הוצאה תעודת חיסיון. תוכן הידיעות</w:t>
      </w:r>
      <w:r w:rsidR="00325F79">
        <w:rPr>
          <w:rFonts w:hint="cs"/>
          <w:rtl/>
        </w:rPr>
        <w:t xml:space="preserve"> המודיעיניות</w:t>
      </w:r>
      <w:r w:rsidR="00EC5975">
        <w:rPr>
          <w:rFonts w:hint="cs"/>
          <w:rtl/>
        </w:rPr>
        <w:t xml:space="preserve"> עסק בשלתיאל בלבד</w:t>
      </w:r>
      <w:r w:rsidR="00F40BD9">
        <w:rPr>
          <w:rFonts w:hint="cs"/>
          <w:rtl/>
        </w:rPr>
        <w:t xml:space="preserve"> ושמו של המערער לא הוזכר </w:t>
      </w:r>
      <w:r w:rsidR="00325F79">
        <w:rPr>
          <w:rFonts w:hint="cs"/>
          <w:rtl/>
        </w:rPr>
        <w:t>בהן</w:t>
      </w:r>
      <w:r w:rsidR="00F40BD9">
        <w:rPr>
          <w:rFonts w:hint="cs"/>
          <w:rtl/>
        </w:rPr>
        <w:t xml:space="preserve">. השופטת </w:t>
      </w:r>
      <w:r w:rsidR="00325F79" w:rsidRPr="00325F79">
        <w:rPr>
          <w:rFonts w:ascii="Century" w:hAnsi="Century" w:cs="Miriam" w:hint="cs"/>
          <w:b/>
          <w:spacing w:val="0"/>
          <w:sz w:val="22"/>
          <w:szCs w:val="24"/>
          <w:rtl/>
        </w:rPr>
        <w:t>דיבון סגל</w:t>
      </w:r>
      <w:r w:rsidR="00325F79">
        <w:rPr>
          <w:rFonts w:hint="cs"/>
          <w:rtl/>
        </w:rPr>
        <w:t xml:space="preserve"> </w:t>
      </w:r>
      <w:r w:rsidR="00F40BD9">
        <w:rPr>
          <w:rFonts w:hint="cs"/>
          <w:rtl/>
        </w:rPr>
        <w:t>נעתרה לבקשת המשטרה, תוך שצוין כי מותר החיפוש אצל שלתיאל "</w:t>
      </w:r>
      <w:r w:rsidR="00F40BD9" w:rsidRPr="00F40BD9">
        <w:rPr>
          <w:rFonts w:ascii="Century" w:hAnsi="Century" w:cs="Miriam" w:hint="cs"/>
          <w:b/>
          <w:spacing w:val="0"/>
          <w:sz w:val="22"/>
          <w:szCs w:val="24"/>
          <w:rtl/>
        </w:rPr>
        <w:t>מרחוב קרן היסוד 27, ע"פ תצ"א, מושב ישרש</w:t>
      </w:r>
      <w:r w:rsidR="00F40BD9">
        <w:rPr>
          <w:rFonts w:hint="cs"/>
          <w:rtl/>
        </w:rPr>
        <w:t>" וכי החיפוש ייער</w:t>
      </w:r>
      <w:r w:rsidR="00EC5975">
        <w:rPr>
          <w:rFonts w:hint="cs"/>
          <w:rtl/>
        </w:rPr>
        <w:t>ך</w:t>
      </w:r>
      <w:r w:rsidR="00F40BD9">
        <w:rPr>
          <w:rFonts w:hint="cs"/>
          <w:rtl/>
        </w:rPr>
        <w:t xml:space="preserve"> בפני שני עדים.</w:t>
      </w:r>
    </w:p>
    <w:p w:rsidR="00760094" w:rsidRPr="00760094" w:rsidRDefault="00760094" w:rsidP="00D52805">
      <w:pPr>
        <w:pStyle w:val="Ruller41"/>
        <w:numPr>
          <w:ilvl w:val="0"/>
          <w:numId w:val="11"/>
        </w:numPr>
        <w:overflowPunct/>
        <w:autoSpaceDE/>
        <w:autoSpaceDN/>
        <w:adjustRightInd/>
        <w:spacing w:after="420"/>
        <w:textAlignment w:val="auto"/>
      </w:pPr>
      <w:r>
        <w:rPr>
          <w:rFonts w:hint="cs"/>
          <w:rtl/>
        </w:rPr>
        <w:t xml:space="preserve">אפנה עתה לתיאור </w:t>
      </w:r>
      <w:r w:rsidR="007F128E">
        <w:rPr>
          <w:rFonts w:hint="cs"/>
          <w:rtl/>
        </w:rPr>
        <w:t xml:space="preserve">האופן </w:t>
      </w:r>
      <w:r>
        <w:rPr>
          <w:rFonts w:hint="cs"/>
          <w:rtl/>
        </w:rPr>
        <w:t xml:space="preserve">שבו בוצע החיפוש ולמהלכו: </w:t>
      </w:r>
    </w:p>
    <w:p w:rsidR="00F40BD9" w:rsidRDefault="00760094" w:rsidP="00760094">
      <w:pPr>
        <w:pStyle w:val="Ruller41"/>
        <w:tabs>
          <w:tab w:val="clear" w:pos="907"/>
        </w:tabs>
        <w:overflowPunct/>
        <w:autoSpaceDE/>
        <w:autoSpaceDN/>
        <w:adjustRightInd/>
        <w:spacing w:after="420"/>
        <w:textAlignment w:val="auto"/>
        <w:rPr>
          <w:rtl/>
        </w:rPr>
      </w:pPr>
      <w:r>
        <w:rPr>
          <w:rFonts w:ascii="Century" w:hAnsi="Century" w:cs="Miriam"/>
          <w:b/>
          <w:spacing w:val="0"/>
          <w:sz w:val="22"/>
          <w:szCs w:val="24"/>
          <w:rtl/>
        </w:rPr>
        <w:tab/>
      </w:r>
      <w:r w:rsidR="00377BF0" w:rsidRPr="00377BF0">
        <w:rPr>
          <w:rFonts w:ascii="Century" w:hAnsi="Century" w:cs="Miriam" w:hint="cs"/>
          <w:b/>
          <w:spacing w:val="0"/>
          <w:sz w:val="22"/>
          <w:szCs w:val="24"/>
          <w:rtl/>
        </w:rPr>
        <w:t>תיאור המתחם</w:t>
      </w:r>
      <w:r w:rsidR="00377BF0">
        <w:rPr>
          <w:rFonts w:hint="cs"/>
          <w:rtl/>
        </w:rPr>
        <w:t xml:space="preserve">: </w:t>
      </w:r>
      <w:r w:rsidR="00F40BD9">
        <w:rPr>
          <w:rFonts w:hint="cs"/>
          <w:rtl/>
        </w:rPr>
        <w:t xml:space="preserve">כל אחד מהקרוואנים במתחם </w:t>
      </w:r>
      <w:r w:rsidR="00F40BD9">
        <w:rPr>
          <w:rtl/>
        </w:rPr>
        <w:t>–</w:t>
      </w:r>
      <w:r w:rsidR="00F40BD9">
        <w:rPr>
          <w:rFonts w:hint="cs"/>
          <w:rtl/>
        </w:rPr>
        <w:t xml:space="preserve"> זה שבו מתגורר המערער וזה שבו מתגורר שלתיאל, מוקף חצר מגודרת ובעל שער כניסה משלו. בין שני הקרוואנים קיים מגרש חניה שבו המבנה העיקרי בבעלות</w:t>
      </w:r>
      <w:r w:rsidR="00324607">
        <w:rPr>
          <w:rFonts w:hint="cs"/>
          <w:rtl/>
        </w:rPr>
        <w:t xml:space="preserve"> אדם בשם</w:t>
      </w:r>
      <w:r w:rsidR="00F40BD9">
        <w:rPr>
          <w:rFonts w:hint="cs"/>
          <w:rtl/>
        </w:rPr>
        <w:t xml:space="preserve"> דוד עמר. להתרשמותו של בית משפט השלום, </w:t>
      </w:r>
      <w:r>
        <w:rPr>
          <w:rFonts w:hint="cs"/>
          <w:rtl/>
        </w:rPr>
        <w:t xml:space="preserve">הקרוואנים מרוחקים זה מזה מספר עשרות מטרים. </w:t>
      </w:r>
      <w:r w:rsidR="00F40BD9">
        <w:rPr>
          <w:rFonts w:hint="cs"/>
          <w:rtl/>
        </w:rPr>
        <w:t xml:space="preserve"> </w:t>
      </w:r>
    </w:p>
    <w:p w:rsidR="00F40BD9" w:rsidRDefault="00760094" w:rsidP="00760094">
      <w:pPr>
        <w:pStyle w:val="Ruller41"/>
        <w:tabs>
          <w:tab w:val="clear" w:pos="907"/>
        </w:tabs>
        <w:overflowPunct/>
        <w:autoSpaceDE/>
        <w:autoSpaceDN/>
        <w:adjustRightInd/>
        <w:spacing w:after="420"/>
        <w:textAlignment w:val="auto"/>
        <w:rPr>
          <w:rtl/>
        </w:rPr>
      </w:pPr>
      <w:r>
        <w:rPr>
          <w:rFonts w:ascii="Century" w:hAnsi="Century" w:cs="Miriam"/>
          <w:b/>
          <w:spacing w:val="0"/>
          <w:sz w:val="22"/>
          <w:szCs w:val="24"/>
          <w:rtl/>
        </w:rPr>
        <w:tab/>
      </w:r>
      <w:r w:rsidR="00377BF0" w:rsidRPr="00377BF0">
        <w:rPr>
          <w:rFonts w:ascii="Century" w:hAnsi="Century" w:cs="Miriam" w:hint="cs"/>
          <w:b/>
          <w:spacing w:val="0"/>
          <w:sz w:val="22"/>
          <w:szCs w:val="24"/>
          <w:rtl/>
        </w:rPr>
        <w:t>מהלך החיפוש</w:t>
      </w:r>
      <w:r w:rsidR="00377BF0">
        <w:rPr>
          <w:rFonts w:hint="cs"/>
          <w:rtl/>
        </w:rPr>
        <w:t>: ביום 30.12.2019, בסמוך לשעה 2:00</w:t>
      </w:r>
      <w:r w:rsidR="00325F79">
        <w:rPr>
          <w:rFonts w:hint="cs"/>
          <w:rtl/>
        </w:rPr>
        <w:t>, הגיעו כוחות מג"ב ובילוש למתחם</w:t>
      </w:r>
      <w:r w:rsidR="00377BF0">
        <w:rPr>
          <w:rFonts w:hint="cs"/>
          <w:rtl/>
        </w:rPr>
        <w:t xml:space="preserve">. </w:t>
      </w:r>
      <w:r w:rsidR="00073004">
        <w:rPr>
          <w:rFonts w:hint="cs"/>
          <w:rtl/>
        </w:rPr>
        <w:t>לפי הכרעת הדין</w:t>
      </w:r>
      <w:r w:rsidR="003E48C2">
        <w:rPr>
          <w:rFonts w:hint="cs"/>
          <w:rtl/>
        </w:rPr>
        <w:t xml:space="preserve"> של בית משפט השלום</w:t>
      </w:r>
      <w:r w:rsidR="00073004">
        <w:rPr>
          <w:rFonts w:hint="cs"/>
          <w:rtl/>
        </w:rPr>
        <w:t xml:space="preserve">, </w:t>
      </w:r>
      <w:r w:rsidR="00F40BD9">
        <w:rPr>
          <w:rFonts w:hint="cs"/>
          <w:rtl/>
        </w:rPr>
        <w:t>בביצוע החיפוש נטלו חלק כ-10 שוטרים לפחות. חלקם פרצו לקרוואן שבו התגורר שלתיאל, וחלק</w:t>
      </w:r>
      <w:r w:rsidR="00D52805">
        <w:rPr>
          <w:rFonts w:hint="cs"/>
          <w:rtl/>
        </w:rPr>
        <w:t>ם</w:t>
      </w:r>
      <w:r w:rsidR="00F40BD9">
        <w:rPr>
          <w:rFonts w:hint="cs"/>
          <w:rtl/>
        </w:rPr>
        <w:t xml:space="preserve"> לקרוואן </w:t>
      </w:r>
      <w:r w:rsidR="00D52805">
        <w:rPr>
          <w:rFonts w:hint="cs"/>
          <w:rtl/>
        </w:rPr>
        <w:t>ש</w:t>
      </w:r>
      <w:r w:rsidR="00F40BD9">
        <w:rPr>
          <w:rFonts w:hint="cs"/>
          <w:rtl/>
        </w:rPr>
        <w:t>בו מתגורר המערער</w:t>
      </w:r>
      <w:r w:rsidR="00D52805">
        <w:rPr>
          <w:rFonts w:hint="cs"/>
          <w:rtl/>
        </w:rPr>
        <w:t xml:space="preserve"> ואשר </w:t>
      </w:r>
      <w:r w:rsidR="003266BD">
        <w:rPr>
          <w:rFonts w:hint="cs"/>
          <w:rtl/>
        </w:rPr>
        <w:t xml:space="preserve">גם שלתיאל </w:t>
      </w:r>
      <w:r w:rsidR="00D52805">
        <w:rPr>
          <w:rFonts w:hint="cs"/>
          <w:rtl/>
        </w:rPr>
        <w:t xml:space="preserve">שהה בו </w:t>
      </w:r>
      <w:r w:rsidR="003266BD">
        <w:rPr>
          <w:rFonts w:hint="cs"/>
          <w:rtl/>
        </w:rPr>
        <w:t>באותה העת</w:t>
      </w:r>
      <w:r w:rsidR="00F40BD9">
        <w:rPr>
          <w:rFonts w:hint="cs"/>
          <w:rtl/>
        </w:rPr>
        <w:t xml:space="preserve">. </w:t>
      </w:r>
      <w:r w:rsidR="00324607">
        <w:rPr>
          <w:rFonts w:hint="cs"/>
          <w:rtl/>
        </w:rPr>
        <w:t xml:space="preserve">השוטרים נכנסו במקביל לשני הקרוואנים. </w:t>
      </w:r>
      <w:r w:rsidR="00EC5975">
        <w:rPr>
          <w:rFonts w:hint="cs"/>
          <w:rtl/>
        </w:rPr>
        <w:t xml:space="preserve">השוטר </w:t>
      </w:r>
      <w:proofErr w:type="spellStart"/>
      <w:r w:rsidR="00EC5975">
        <w:rPr>
          <w:rFonts w:hint="cs"/>
          <w:rtl/>
        </w:rPr>
        <w:t>נסימי</w:t>
      </w:r>
      <w:proofErr w:type="spellEnd"/>
      <w:r w:rsidR="00EC5975">
        <w:rPr>
          <w:rFonts w:hint="cs"/>
          <w:rtl/>
        </w:rPr>
        <w:t xml:space="preserve"> (להלן: </w:t>
      </w:r>
      <w:proofErr w:type="spellStart"/>
      <w:r w:rsidR="00EC5975" w:rsidRPr="00EC5975">
        <w:rPr>
          <w:rFonts w:ascii="Century" w:hAnsi="Century" w:cs="Miriam" w:hint="cs"/>
          <w:b/>
          <w:spacing w:val="0"/>
          <w:szCs w:val="24"/>
          <w:rtl/>
        </w:rPr>
        <w:t>נסימי</w:t>
      </w:r>
      <w:proofErr w:type="spellEnd"/>
      <w:r w:rsidR="00EC5975">
        <w:rPr>
          <w:rFonts w:hint="cs"/>
          <w:rtl/>
        </w:rPr>
        <w:t>)</w:t>
      </w:r>
      <w:r w:rsidR="00F40BD9">
        <w:rPr>
          <w:rFonts w:hint="cs"/>
          <w:rtl/>
        </w:rPr>
        <w:t xml:space="preserve">, מפקד כוח מג"ב במקום, העיד שזיהה קרוואן מצד שמאל, הורה לצוות להיכנס לתוכו, ראה סמים על השולחן והורה לעצור את כל הנוכחים. </w:t>
      </w:r>
    </w:p>
    <w:p w:rsidR="00377BF0" w:rsidRPr="00377BF0" w:rsidRDefault="00377BF0" w:rsidP="00377BF0">
      <w:pPr>
        <w:pStyle w:val="Ruller41"/>
        <w:tabs>
          <w:tab w:val="clear" w:pos="907"/>
        </w:tabs>
        <w:overflowPunct/>
        <w:autoSpaceDE/>
        <w:autoSpaceDN/>
        <w:adjustRightInd/>
        <w:spacing w:after="420"/>
        <w:textAlignment w:val="auto"/>
        <w:rPr>
          <w:rFonts w:ascii="Century" w:hAnsi="Century" w:cs="Miriam"/>
          <w:b/>
          <w:spacing w:val="0"/>
          <w:sz w:val="22"/>
          <w:szCs w:val="24"/>
        </w:rPr>
      </w:pPr>
      <w:r w:rsidRPr="00377BF0">
        <w:rPr>
          <w:rFonts w:ascii="Century" w:hAnsi="Century" w:cs="Miriam" w:hint="cs"/>
          <w:b/>
          <w:spacing w:val="0"/>
          <w:sz w:val="22"/>
          <w:szCs w:val="24"/>
          <w:rtl/>
        </w:rPr>
        <w:t>הכרעת הדין</w:t>
      </w:r>
      <w:r w:rsidR="003E48C2">
        <w:rPr>
          <w:rFonts w:ascii="Century" w:hAnsi="Century" w:cs="Miriam" w:hint="cs"/>
          <w:b/>
          <w:spacing w:val="0"/>
          <w:sz w:val="22"/>
          <w:szCs w:val="24"/>
          <w:rtl/>
        </w:rPr>
        <w:t xml:space="preserve"> המזכה של בית משפט השלום</w:t>
      </w:r>
    </w:p>
    <w:p w:rsidR="00462435" w:rsidRDefault="00760094" w:rsidP="00760094">
      <w:pPr>
        <w:pStyle w:val="Ruller41"/>
        <w:numPr>
          <w:ilvl w:val="0"/>
          <w:numId w:val="11"/>
        </w:numPr>
        <w:overflowPunct/>
        <w:autoSpaceDE/>
        <w:autoSpaceDN/>
        <w:adjustRightInd/>
        <w:spacing w:after="420"/>
        <w:textAlignment w:val="auto"/>
        <w:rPr>
          <w:rFonts w:ascii="Arial TUR" w:hAnsi="Arial TUR"/>
          <w:sz w:val="22"/>
        </w:rPr>
      </w:pPr>
      <w:r>
        <w:rPr>
          <w:rFonts w:ascii="Arial TUR" w:hAnsi="Arial TUR" w:hint="cs"/>
          <w:sz w:val="22"/>
          <w:rtl/>
        </w:rPr>
        <w:t xml:space="preserve">בפתח הדיון </w:t>
      </w:r>
      <w:r w:rsidR="00325F79">
        <w:rPr>
          <w:rFonts w:ascii="Arial TUR" w:hAnsi="Arial TUR" w:hint="cs"/>
          <w:sz w:val="22"/>
          <w:rtl/>
        </w:rPr>
        <w:t xml:space="preserve">המערער כפר </w:t>
      </w:r>
      <w:r>
        <w:rPr>
          <w:rFonts w:ascii="Arial TUR" w:hAnsi="Arial TUR" w:hint="cs"/>
          <w:sz w:val="22"/>
          <w:rtl/>
        </w:rPr>
        <w:t xml:space="preserve">במיוחס לו בכתב האישום וטען נגד </w:t>
      </w:r>
      <w:r w:rsidR="00325F79">
        <w:rPr>
          <w:rFonts w:ascii="Arial TUR" w:hAnsi="Arial TUR" w:hint="cs"/>
          <w:sz w:val="22"/>
          <w:rtl/>
        </w:rPr>
        <w:t xml:space="preserve">חוקיות החיפוש </w:t>
      </w:r>
      <w:r>
        <w:rPr>
          <w:rFonts w:ascii="Arial TUR" w:hAnsi="Arial TUR" w:hint="cs"/>
          <w:sz w:val="22"/>
          <w:rtl/>
        </w:rPr>
        <w:t>שבמהלכו</w:t>
      </w:r>
      <w:r w:rsidR="00325F79">
        <w:rPr>
          <w:rFonts w:ascii="Arial TUR" w:hAnsi="Arial TUR" w:hint="cs"/>
          <w:sz w:val="22"/>
          <w:rtl/>
        </w:rPr>
        <w:t xml:space="preserve"> נתפסו הראיות לחובתו </w:t>
      </w:r>
      <w:r>
        <w:rPr>
          <w:rFonts w:ascii="Arial TUR" w:hAnsi="Arial TUR" w:hint="cs"/>
          <w:sz w:val="22"/>
          <w:rtl/>
        </w:rPr>
        <w:t>באופן המוביל לפסילתן</w:t>
      </w:r>
      <w:r w:rsidR="00325F79">
        <w:rPr>
          <w:rFonts w:ascii="Arial TUR" w:hAnsi="Arial TUR" w:hint="cs"/>
          <w:sz w:val="22"/>
          <w:rtl/>
        </w:rPr>
        <w:t xml:space="preserve">. טענתו </w:t>
      </w:r>
      <w:r w:rsidR="00462435">
        <w:rPr>
          <w:rFonts w:ascii="Arial TUR" w:hAnsi="Arial TUR" w:hint="cs"/>
          <w:sz w:val="22"/>
          <w:rtl/>
        </w:rPr>
        <w:t xml:space="preserve">זו היא שניצבה </w:t>
      </w:r>
      <w:r>
        <w:rPr>
          <w:rFonts w:ascii="Arial TUR" w:hAnsi="Arial TUR" w:hint="cs"/>
          <w:sz w:val="22"/>
          <w:rtl/>
        </w:rPr>
        <w:t>במרכזה של</w:t>
      </w:r>
      <w:r w:rsidR="00462435">
        <w:rPr>
          <w:rFonts w:ascii="Arial TUR" w:hAnsi="Arial TUR" w:hint="cs"/>
          <w:sz w:val="22"/>
          <w:rtl/>
        </w:rPr>
        <w:t xml:space="preserve"> הכרעת הדין.</w:t>
      </w:r>
    </w:p>
    <w:p w:rsidR="00E63AB4" w:rsidRPr="00325F79" w:rsidRDefault="00F5503D" w:rsidP="00DA1952">
      <w:pPr>
        <w:pStyle w:val="Ruller41"/>
        <w:numPr>
          <w:ilvl w:val="0"/>
          <w:numId w:val="11"/>
        </w:numPr>
        <w:overflowPunct/>
        <w:autoSpaceDE/>
        <w:autoSpaceDN/>
        <w:adjustRightInd/>
        <w:spacing w:after="420"/>
        <w:textAlignment w:val="auto"/>
        <w:rPr>
          <w:rFonts w:ascii="Arial TUR" w:hAnsi="Arial TUR"/>
          <w:sz w:val="22"/>
        </w:rPr>
      </w:pPr>
      <w:r>
        <w:rPr>
          <w:rFonts w:hint="cs"/>
          <w:rtl/>
        </w:rPr>
        <w:t xml:space="preserve">בית משפט השלום קבע כי השימוש </w:t>
      </w:r>
      <w:r w:rsidR="00760094">
        <w:rPr>
          <w:rFonts w:hint="cs"/>
          <w:rtl/>
        </w:rPr>
        <w:t xml:space="preserve">בתצלום אוויר </w:t>
      </w:r>
      <w:r>
        <w:rPr>
          <w:rFonts w:hint="cs"/>
          <w:rtl/>
        </w:rPr>
        <w:t xml:space="preserve">במסגרת בקשה למתן צו חיפוש, שבה מסומן מבנה או תא </w:t>
      </w:r>
      <w:r w:rsidR="00073004">
        <w:rPr>
          <w:rFonts w:hint="cs"/>
          <w:rtl/>
        </w:rPr>
        <w:t>ש</w:t>
      </w:r>
      <w:r>
        <w:rPr>
          <w:rFonts w:hint="cs"/>
          <w:rtl/>
        </w:rPr>
        <w:t>טח מסוים, נעשה במקרים שבהם האתר מושא החיפוש נעדר שמות רחובות ומספרי בתים סדורים או במקר</w:t>
      </w:r>
      <w:r w:rsidR="003E42D4">
        <w:rPr>
          <w:rFonts w:hint="cs"/>
          <w:rtl/>
        </w:rPr>
        <w:t>ים שבהם</w:t>
      </w:r>
      <w:r>
        <w:rPr>
          <w:rFonts w:hint="cs"/>
          <w:rtl/>
        </w:rPr>
        <w:t xml:space="preserve"> קיים</w:t>
      </w:r>
      <w:r w:rsidR="00760094">
        <w:rPr>
          <w:rFonts w:hint="cs"/>
          <w:rtl/>
        </w:rPr>
        <w:t xml:space="preserve"> מידע חלקי בלבד על אודות המיקום</w:t>
      </w:r>
      <w:r w:rsidR="00DA1952">
        <w:rPr>
          <w:rFonts w:hint="cs"/>
          <w:rtl/>
        </w:rPr>
        <w:t>. עוד הוסיף</w:t>
      </w:r>
      <w:r>
        <w:rPr>
          <w:rFonts w:hint="cs"/>
          <w:rtl/>
        </w:rPr>
        <w:t>: "</w:t>
      </w:r>
      <w:r w:rsidRPr="00325F79">
        <w:rPr>
          <w:rFonts w:ascii="Century" w:hAnsi="Century" w:cs="Miriam" w:hint="cs"/>
          <w:b/>
          <w:spacing w:val="0"/>
          <w:sz w:val="22"/>
          <w:szCs w:val="24"/>
          <w:rtl/>
        </w:rPr>
        <w:t xml:space="preserve">ככל שסימון זה [על גבי </w:t>
      </w:r>
      <w:r w:rsidR="00760094">
        <w:rPr>
          <w:rFonts w:ascii="Century" w:hAnsi="Century" w:cs="Miriam" w:hint="cs"/>
          <w:b/>
          <w:spacing w:val="0"/>
          <w:sz w:val="22"/>
          <w:szCs w:val="24"/>
          <w:rtl/>
        </w:rPr>
        <w:t>תצלום האוויר</w:t>
      </w:r>
      <w:r w:rsidRPr="00325F79">
        <w:rPr>
          <w:rFonts w:ascii="Century" w:hAnsi="Century" w:cs="Miriam" w:hint="cs"/>
          <w:b/>
          <w:spacing w:val="0"/>
          <w:sz w:val="22"/>
          <w:szCs w:val="24"/>
          <w:rtl/>
        </w:rPr>
        <w:t xml:space="preserve"> </w:t>
      </w:r>
      <w:r w:rsidRPr="00325F79">
        <w:rPr>
          <w:rFonts w:ascii="Century" w:hAnsi="Century" w:cs="Miriam"/>
          <w:b/>
          <w:spacing w:val="0"/>
          <w:sz w:val="22"/>
          <w:szCs w:val="24"/>
          <w:rtl/>
        </w:rPr>
        <w:t>–</w:t>
      </w:r>
      <w:r w:rsidRPr="00325F79">
        <w:rPr>
          <w:rFonts w:ascii="Century" w:hAnsi="Century" w:cs="Miriam" w:hint="cs"/>
          <w:b/>
          <w:spacing w:val="0"/>
          <w:sz w:val="22"/>
          <w:szCs w:val="24"/>
          <w:rtl/>
        </w:rPr>
        <w:t xml:space="preserve"> י' א'] מלווה בהצהרת החוקר לגבי מהימנותו, מגלים בתי המשפט נכונות להחשיבו כראיה מספקת לעניין הכתובת לחיפוש [...]</w:t>
      </w:r>
      <w:r>
        <w:rPr>
          <w:rFonts w:hint="cs"/>
          <w:rtl/>
        </w:rPr>
        <w:t>".</w:t>
      </w:r>
      <w:r w:rsidR="00073004">
        <w:rPr>
          <w:rFonts w:hint="cs"/>
          <w:rtl/>
        </w:rPr>
        <w:t xml:space="preserve"> </w:t>
      </w:r>
      <w:r w:rsidR="00760094">
        <w:rPr>
          <w:rFonts w:hint="cs"/>
          <w:rtl/>
        </w:rPr>
        <w:t xml:space="preserve">בנוסף </w:t>
      </w:r>
      <w:r>
        <w:rPr>
          <w:rFonts w:hint="cs"/>
          <w:rtl/>
        </w:rPr>
        <w:t xml:space="preserve">צוין, כי המקרים שבהם בית המשפט מסתפק בסימון הכתובת על גבי </w:t>
      </w:r>
      <w:r w:rsidR="00760094">
        <w:rPr>
          <w:rFonts w:hint="cs"/>
          <w:rtl/>
        </w:rPr>
        <w:t>תצלום אוויר</w:t>
      </w:r>
      <w:r>
        <w:rPr>
          <w:rFonts w:hint="cs"/>
          <w:rtl/>
        </w:rPr>
        <w:t xml:space="preserve"> הם חריגים, </w:t>
      </w:r>
      <w:r w:rsidR="00325F79">
        <w:rPr>
          <w:rFonts w:hint="cs"/>
          <w:rtl/>
        </w:rPr>
        <w:t xml:space="preserve">וכי </w:t>
      </w:r>
      <w:r>
        <w:rPr>
          <w:rFonts w:hint="cs"/>
          <w:rtl/>
        </w:rPr>
        <w:t>מדובר בפרקטיק</w:t>
      </w:r>
      <w:r w:rsidR="004607A8">
        <w:rPr>
          <w:rFonts w:hint="cs"/>
          <w:rtl/>
        </w:rPr>
        <w:t>ה הנהוגה כמעין "הכרח בל יגונה" ו</w:t>
      </w:r>
      <w:r>
        <w:rPr>
          <w:rFonts w:hint="cs"/>
          <w:rtl/>
        </w:rPr>
        <w:t xml:space="preserve">דווקא </w:t>
      </w:r>
      <w:r w:rsidR="00325F79">
        <w:rPr>
          <w:rFonts w:hint="cs"/>
          <w:rtl/>
        </w:rPr>
        <w:t>בשל</w:t>
      </w:r>
      <w:r>
        <w:rPr>
          <w:rFonts w:hint="cs"/>
          <w:rtl/>
        </w:rPr>
        <w:t xml:space="preserve"> כך חוקרי המ</w:t>
      </w:r>
      <w:r w:rsidR="00E63AB4">
        <w:rPr>
          <w:rFonts w:hint="cs"/>
          <w:rtl/>
        </w:rPr>
        <w:t>שטרה מחויבים לנהוג ביתר זהירות.</w:t>
      </w:r>
    </w:p>
    <w:p w:rsidR="00325F79" w:rsidRDefault="00E63AB4" w:rsidP="00DA1952">
      <w:pPr>
        <w:pStyle w:val="Ruller41"/>
        <w:tabs>
          <w:tab w:val="clear" w:pos="907"/>
        </w:tabs>
        <w:overflowPunct/>
        <w:autoSpaceDE/>
        <w:autoSpaceDN/>
        <w:adjustRightInd/>
        <w:spacing w:after="420"/>
        <w:textAlignment w:val="auto"/>
        <w:rPr>
          <w:rtl/>
        </w:rPr>
      </w:pPr>
      <w:r>
        <w:rPr>
          <w:rtl/>
        </w:rPr>
        <w:tab/>
      </w:r>
      <w:r w:rsidR="00F5503D">
        <w:rPr>
          <w:rFonts w:hint="cs"/>
          <w:rtl/>
        </w:rPr>
        <w:t xml:space="preserve">בית משפט השלום תיאר כי </w:t>
      </w:r>
      <w:r w:rsidR="00325F79">
        <w:rPr>
          <w:rFonts w:hint="cs"/>
          <w:rtl/>
        </w:rPr>
        <w:t xml:space="preserve">בנסיבות אלו </w:t>
      </w:r>
      <w:r w:rsidR="00F5503D">
        <w:rPr>
          <w:rFonts w:hint="cs"/>
          <w:rtl/>
        </w:rPr>
        <w:t xml:space="preserve">קיימת חובת זהירות גבוהה יותר מן החובה בבקשות "רגילות" לצווי חיפוש, מאחר שבמקרה זה המשטרה </w:t>
      </w:r>
      <w:r w:rsidR="00325F79">
        <w:rPr>
          <w:rFonts w:hint="cs"/>
          <w:rtl/>
        </w:rPr>
        <w:t xml:space="preserve">מגישה </w:t>
      </w:r>
      <w:r w:rsidR="00F5503D">
        <w:rPr>
          <w:rFonts w:hint="cs"/>
          <w:rtl/>
        </w:rPr>
        <w:t>בקשה למתן צו חיפוש על אף שאין בידה לעמוד בדרישה הבסיסית של ציון הכתובת המדויקת. הודגש</w:t>
      </w:r>
      <w:r w:rsidR="003E42D4">
        <w:rPr>
          <w:rFonts w:hint="cs"/>
          <w:rtl/>
        </w:rPr>
        <w:t>,</w:t>
      </w:r>
      <w:r w:rsidR="00F5503D">
        <w:rPr>
          <w:rFonts w:hint="cs"/>
          <w:rtl/>
        </w:rPr>
        <w:t xml:space="preserve"> כי מתן צו חיפוש על סמך </w:t>
      </w:r>
      <w:r w:rsidR="00760094">
        <w:rPr>
          <w:rFonts w:hint="cs"/>
          <w:rtl/>
        </w:rPr>
        <w:t>תצלום אוויר</w:t>
      </w:r>
      <w:r w:rsidR="00F5503D">
        <w:rPr>
          <w:rFonts w:hint="cs"/>
          <w:rtl/>
        </w:rPr>
        <w:t xml:space="preserve"> אינו נועד להעניק יתרון כלשהו לחוקרי המשטרה</w:t>
      </w:r>
      <w:r w:rsidR="00A46245">
        <w:rPr>
          <w:rFonts w:hint="cs"/>
          <w:rtl/>
        </w:rPr>
        <w:t xml:space="preserve">, כפי שהשתמע מעדויות השוטרים במקרה זה, וכי הוא אינו מהווה היתר </w:t>
      </w:r>
      <w:r w:rsidR="00325F79">
        <w:rPr>
          <w:rFonts w:hint="cs"/>
          <w:rtl/>
        </w:rPr>
        <w:t xml:space="preserve">גורף ומרחיב לחיפוש בכל תא השטח. </w:t>
      </w:r>
      <w:r w:rsidR="00A46245">
        <w:rPr>
          <w:rFonts w:hint="cs"/>
          <w:rtl/>
        </w:rPr>
        <w:t xml:space="preserve">משכך, נדחתה פרשנות </w:t>
      </w:r>
      <w:r w:rsidR="008D7D28">
        <w:rPr>
          <w:rFonts w:hint="cs"/>
          <w:rtl/>
        </w:rPr>
        <w:t>המשיבה</w:t>
      </w:r>
      <w:r w:rsidR="00A46245">
        <w:rPr>
          <w:rFonts w:hint="cs"/>
          <w:rtl/>
        </w:rPr>
        <w:t xml:space="preserve"> כי צו החיפוש חל על כל המתחם, שהרי החיפוש הותר אצל המחזיק בלבד </w:t>
      </w:r>
      <w:r w:rsidR="00A46245">
        <w:rPr>
          <w:rtl/>
        </w:rPr>
        <w:t>–</w:t>
      </w:r>
      <w:r w:rsidR="00A46245">
        <w:rPr>
          <w:rFonts w:hint="cs"/>
          <w:rtl/>
        </w:rPr>
        <w:t xml:space="preserve"> שלתיאל. עוד צוין, כי מנוסח הבקשה והמזכר שצור</w:t>
      </w:r>
      <w:r w:rsidR="003E42D4">
        <w:rPr>
          <w:rFonts w:hint="cs"/>
          <w:rtl/>
        </w:rPr>
        <w:t>ף</w:t>
      </w:r>
      <w:r w:rsidR="00A46245">
        <w:rPr>
          <w:rFonts w:hint="cs"/>
          <w:rtl/>
        </w:rPr>
        <w:t xml:space="preserve"> לה עולה בבירור כי המשטרה ידעה ששלתיאל אינו המחזיק הבלעדי בתא השטח, אלא שוכר יחידת דיור בלבד. </w:t>
      </w:r>
      <w:r w:rsidR="00760094">
        <w:rPr>
          <w:rFonts w:hint="cs"/>
          <w:rtl/>
        </w:rPr>
        <w:t>תצלום האוויר</w:t>
      </w:r>
      <w:r w:rsidR="00DA1952">
        <w:rPr>
          <w:rFonts w:hint="cs"/>
          <w:rtl/>
        </w:rPr>
        <w:t xml:space="preserve"> עצמו</w:t>
      </w:r>
      <w:r w:rsidR="00A46245">
        <w:rPr>
          <w:rFonts w:hint="cs"/>
          <w:rtl/>
        </w:rPr>
        <w:t xml:space="preserve"> </w:t>
      </w:r>
      <w:r w:rsidR="003E48C2">
        <w:rPr>
          <w:rFonts w:hint="cs"/>
          <w:rtl/>
        </w:rPr>
        <w:t xml:space="preserve">תואר בהכרעת הדין </w:t>
      </w:r>
      <w:r w:rsidR="00325F79">
        <w:rPr>
          <w:rFonts w:hint="cs"/>
          <w:rtl/>
        </w:rPr>
        <w:t>באופן הבא:</w:t>
      </w:r>
    </w:p>
    <w:p w:rsidR="00A46245" w:rsidRDefault="00A46245" w:rsidP="00940103">
      <w:pPr>
        <w:pStyle w:val="Ruller5"/>
        <w:rPr>
          <w:rtl/>
        </w:rPr>
      </w:pPr>
      <w:r>
        <w:rPr>
          <w:rFonts w:hint="cs"/>
          <w:rtl/>
        </w:rPr>
        <w:t>"</w:t>
      </w:r>
      <w:r w:rsidRPr="00E63AB4">
        <w:rPr>
          <w:rFonts w:hint="cs"/>
          <w:rtl/>
        </w:rPr>
        <w:t xml:space="preserve">צילום חלקי של תצלום אוויר כלשהו, על גבי דף </w:t>
      </w:r>
      <w:r w:rsidR="00940103">
        <w:rPr>
          <w:rFonts w:ascii="FrankRuehl" w:hAnsi="FrankRuehl" w:hint="cs"/>
          <w:rtl/>
        </w:rPr>
        <w:t>4</w:t>
      </w:r>
      <w:r w:rsidR="00940103">
        <w:rPr>
          <w:rFonts w:ascii="FrankRuehl" w:hAnsi="FrankRuehl"/>
        </w:rPr>
        <w:t>A</w:t>
      </w:r>
      <w:r w:rsidRPr="00E63AB4">
        <w:rPr>
          <w:rFonts w:hint="cs"/>
          <w:rtl/>
        </w:rPr>
        <w:t>, ללא כל ציון של מועד הצילום, וללא ציון המקור [...] התצלום מטושטש, ולא ניתן להבין מתוכו בבירור, אילו מבנים מצויים בתוך תא השטח. [...] בתצלום נראים מספר מבנים, אך בשום אופן לא ניתן לזהות בו יחידות דיור</w:t>
      </w:r>
      <w:r w:rsidR="00D30565">
        <w:rPr>
          <w:rFonts w:hint="cs"/>
          <w:rtl/>
        </w:rPr>
        <w:t>,</w:t>
      </w:r>
      <w:r w:rsidRPr="00E63AB4">
        <w:rPr>
          <w:rFonts w:hint="cs"/>
          <w:rtl/>
        </w:rPr>
        <w:t xml:space="preserve"> ולא קרוואנים, כך שברור כי בית המשפט לא ידע ולא יכול היה לדעת בשעת מתן הצו, מהם המבנים בתא השטח ומה מספרם. בנוסף, לא הובא לידיעת בית המשפט קיומם של מספר מחזיקים במבנים. בנסיבות שכאלה, לא עולה על הדעת כי בית המשפט התיר חיפוש גורף בכל מקום ואתר בתוך תא השטח</w:t>
      </w:r>
      <w:r w:rsidR="00325F79">
        <w:rPr>
          <w:rFonts w:hint="cs"/>
          <w:rtl/>
        </w:rPr>
        <w:t>".</w:t>
      </w:r>
      <w:r>
        <w:rPr>
          <w:rFonts w:hint="cs"/>
          <w:rtl/>
        </w:rPr>
        <w:t xml:space="preserve"> </w:t>
      </w:r>
    </w:p>
    <w:p w:rsidR="00325F79" w:rsidRDefault="00325F79" w:rsidP="00325F79">
      <w:pPr>
        <w:pStyle w:val="Ruller5"/>
        <w:rPr>
          <w:rtl/>
        </w:rPr>
      </w:pPr>
    </w:p>
    <w:p w:rsidR="00325F79" w:rsidRDefault="00A46245" w:rsidP="003E48C2">
      <w:pPr>
        <w:pStyle w:val="Ruller41"/>
        <w:numPr>
          <w:ilvl w:val="0"/>
          <w:numId w:val="11"/>
        </w:numPr>
        <w:overflowPunct/>
        <w:autoSpaceDE/>
        <w:autoSpaceDN/>
        <w:adjustRightInd/>
        <w:spacing w:after="420"/>
        <w:textAlignment w:val="auto"/>
      </w:pPr>
      <w:r>
        <w:rPr>
          <w:rFonts w:hint="cs"/>
          <w:rtl/>
        </w:rPr>
        <w:t xml:space="preserve">בהמשך </w:t>
      </w:r>
      <w:r w:rsidR="003E48C2">
        <w:rPr>
          <w:rFonts w:hint="cs"/>
          <w:rtl/>
        </w:rPr>
        <w:t>לכך</w:t>
      </w:r>
      <w:r>
        <w:rPr>
          <w:rFonts w:hint="cs"/>
          <w:rtl/>
        </w:rPr>
        <w:t>, נקבע כי נפלו פגמים בה</w:t>
      </w:r>
      <w:r w:rsidR="00953D6B">
        <w:rPr>
          <w:rFonts w:hint="cs"/>
          <w:rtl/>
        </w:rPr>
        <w:t>י</w:t>
      </w:r>
      <w:r>
        <w:rPr>
          <w:rFonts w:hint="cs"/>
          <w:rtl/>
        </w:rPr>
        <w:t xml:space="preserve">ערכות המשטרה לביצוע החיפוש, </w:t>
      </w:r>
      <w:r w:rsidR="00325F79">
        <w:rPr>
          <w:rFonts w:hint="cs"/>
          <w:rtl/>
        </w:rPr>
        <w:t xml:space="preserve">כאשר </w:t>
      </w:r>
      <w:r>
        <w:rPr>
          <w:rFonts w:hint="cs"/>
          <w:rtl/>
        </w:rPr>
        <w:t>שושן, שעל בסיס המזכר שכתב ניתן הצו, כלל לא הכיר את המתחם ולא ידע</w:t>
      </w:r>
      <w:r w:rsidR="00325F79">
        <w:rPr>
          <w:rFonts w:hint="cs"/>
          <w:rtl/>
        </w:rPr>
        <w:t xml:space="preserve"> אילו מבנים ומחזיקים מצויים שם. צוין כי </w:t>
      </w:r>
      <w:r>
        <w:rPr>
          <w:rFonts w:hint="cs"/>
          <w:rtl/>
        </w:rPr>
        <w:t xml:space="preserve">אף לא נערכה בדיקה מוקדמת של המתחם, כגון בדרך של פניה לבעל המתחם </w:t>
      </w:r>
      <w:r>
        <w:rPr>
          <w:rtl/>
        </w:rPr>
        <w:t>–</w:t>
      </w:r>
      <w:r w:rsidR="00325F79">
        <w:rPr>
          <w:rFonts w:hint="cs"/>
          <w:rtl/>
        </w:rPr>
        <w:t xml:space="preserve"> מר דוד עמר</w:t>
      </w:r>
      <w:r w:rsidR="00FE4756">
        <w:rPr>
          <w:rFonts w:hint="cs"/>
          <w:rtl/>
        </w:rPr>
        <w:t>,</w:t>
      </w:r>
      <w:r>
        <w:rPr>
          <w:rFonts w:hint="cs"/>
          <w:rtl/>
        </w:rPr>
        <w:t xml:space="preserve"> </w:t>
      </w:r>
      <w:r w:rsidR="00325F79">
        <w:rPr>
          <w:rFonts w:hint="cs"/>
          <w:rtl/>
        </w:rPr>
        <w:t>וזאת</w:t>
      </w:r>
      <w:r>
        <w:rPr>
          <w:rFonts w:hint="cs"/>
          <w:rtl/>
        </w:rPr>
        <w:t xml:space="preserve"> </w:t>
      </w:r>
      <w:r w:rsidR="00FE4756">
        <w:rPr>
          <w:rFonts w:hint="cs"/>
          <w:rtl/>
        </w:rPr>
        <w:t>למרות</w:t>
      </w:r>
      <w:r>
        <w:rPr>
          <w:rFonts w:hint="cs"/>
          <w:rtl/>
        </w:rPr>
        <w:t xml:space="preserve"> </w:t>
      </w:r>
      <w:r w:rsidR="00FE4756">
        <w:rPr>
          <w:rFonts w:hint="cs"/>
          <w:rtl/>
        </w:rPr>
        <w:t>ש</w:t>
      </w:r>
      <w:r>
        <w:rPr>
          <w:rFonts w:hint="cs"/>
          <w:rtl/>
        </w:rPr>
        <w:t xml:space="preserve">חלפו שבועיים מיום מתן הצו עד למועד ביצוע </w:t>
      </w:r>
      <w:r w:rsidR="00325F79">
        <w:rPr>
          <w:rFonts w:hint="cs"/>
          <w:rtl/>
        </w:rPr>
        <w:t>החיפוש.</w:t>
      </w:r>
    </w:p>
    <w:p w:rsidR="004D2277" w:rsidRDefault="00A46245" w:rsidP="00760094">
      <w:pPr>
        <w:pStyle w:val="Ruller41"/>
        <w:numPr>
          <w:ilvl w:val="0"/>
          <w:numId w:val="11"/>
        </w:numPr>
        <w:overflowPunct/>
        <w:autoSpaceDE/>
        <w:autoSpaceDN/>
        <w:adjustRightInd/>
        <w:spacing w:after="420"/>
        <w:textAlignment w:val="auto"/>
        <w:rPr>
          <w:rtl/>
        </w:rPr>
      </w:pPr>
      <w:r w:rsidRPr="00462435">
        <w:rPr>
          <w:rFonts w:ascii="Century" w:hAnsi="Century" w:cs="Miriam" w:hint="cs"/>
          <w:b/>
          <w:spacing w:val="0"/>
          <w:sz w:val="22"/>
          <w:szCs w:val="24"/>
          <w:rtl/>
        </w:rPr>
        <w:t>אשר לאופן ביצוע החיפוש</w:t>
      </w:r>
      <w:r w:rsidR="00462435">
        <w:rPr>
          <w:rFonts w:hint="cs"/>
          <w:rtl/>
        </w:rPr>
        <w:t xml:space="preserve">: </w:t>
      </w:r>
      <w:r>
        <w:rPr>
          <w:rFonts w:hint="cs"/>
          <w:rtl/>
        </w:rPr>
        <w:t xml:space="preserve">בית משפט השלום סקר את עדויות השוטרים שנשמעו לפניו, </w:t>
      </w:r>
      <w:r w:rsidR="003E48C2">
        <w:rPr>
          <w:rFonts w:hint="cs"/>
          <w:rtl/>
        </w:rPr>
        <w:t>וביניהם</w:t>
      </w:r>
      <w:r>
        <w:rPr>
          <w:rFonts w:hint="cs"/>
          <w:rtl/>
        </w:rPr>
        <w:t xml:space="preserve"> את דבריו של </w:t>
      </w:r>
      <w:proofErr w:type="spellStart"/>
      <w:r w:rsidR="00325F79">
        <w:rPr>
          <w:rFonts w:hint="cs"/>
          <w:rtl/>
        </w:rPr>
        <w:t>נסימי</w:t>
      </w:r>
      <w:proofErr w:type="spellEnd"/>
      <w:r w:rsidR="00325F79">
        <w:rPr>
          <w:rFonts w:hint="cs"/>
          <w:rtl/>
        </w:rPr>
        <w:t xml:space="preserve">; כמו גם את דברי </w:t>
      </w:r>
      <w:r>
        <w:rPr>
          <w:rFonts w:hint="cs"/>
          <w:rtl/>
        </w:rPr>
        <w:t xml:space="preserve">השוטר </w:t>
      </w:r>
      <w:proofErr w:type="spellStart"/>
      <w:r>
        <w:rPr>
          <w:rFonts w:hint="cs"/>
          <w:rtl/>
        </w:rPr>
        <w:t>כובני</w:t>
      </w:r>
      <w:proofErr w:type="spellEnd"/>
      <w:r>
        <w:rPr>
          <w:rFonts w:hint="cs"/>
          <w:rtl/>
        </w:rPr>
        <w:t xml:space="preserve">, אשר </w:t>
      </w:r>
      <w:r w:rsidR="00760094">
        <w:rPr>
          <w:rFonts w:hint="cs"/>
          <w:rtl/>
        </w:rPr>
        <w:t>סיפר</w:t>
      </w:r>
      <w:r>
        <w:rPr>
          <w:rFonts w:hint="cs"/>
          <w:rtl/>
        </w:rPr>
        <w:t xml:space="preserve"> כי בהתקרב לקרוואן שבו התגורר המערער ראה כי הדלת "טיפה פתוחה" ומיד נכנס לבית כשהוא חש </w:t>
      </w:r>
      <w:r w:rsidR="00325F79">
        <w:rPr>
          <w:rFonts w:hint="cs"/>
          <w:rtl/>
        </w:rPr>
        <w:t>בריח סמים</w:t>
      </w:r>
      <w:r w:rsidR="00760094">
        <w:rPr>
          <w:rFonts w:hint="cs"/>
          <w:rtl/>
        </w:rPr>
        <w:t>. נדחתה</w:t>
      </w:r>
      <w:r w:rsidR="004D2277">
        <w:rPr>
          <w:rFonts w:hint="cs"/>
          <w:rtl/>
        </w:rPr>
        <w:t xml:space="preserve"> טענת </w:t>
      </w:r>
      <w:r w:rsidR="008D7D28">
        <w:rPr>
          <w:rFonts w:hint="cs"/>
          <w:rtl/>
        </w:rPr>
        <w:t>המשיבה</w:t>
      </w:r>
      <w:r w:rsidR="004D2277">
        <w:rPr>
          <w:rFonts w:hint="cs"/>
          <w:rtl/>
        </w:rPr>
        <w:t xml:space="preserve"> כי השוטרים נכנסו לקרוואן ב</w:t>
      </w:r>
      <w:r w:rsidR="00865DA7">
        <w:rPr>
          <w:rFonts w:hint="cs"/>
          <w:rtl/>
        </w:rPr>
        <w:t xml:space="preserve">ו מתגורר המערער לפי שיקול דעתם </w:t>
      </w:r>
      <w:r w:rsidR="004D2277">
        <w:rPr>
          <w:rFonts w:hint="cs"/>
          <w:rtl/>
        </w:rPr>
        <w:t xml:space="preserve">משדלתו הייתה פתוחה ושלתיאל נכח במקום. </w:t>
      </w:r>
      <w:r w:rsidR="00760094">
        <w:rPr>
          <w:rFonts w:hint="cs"/>
          <w:rtl/>
        </w:rPr>
        <w:t>נקבע</w:t>
      </w:r>
      <w:r w:rsidR="004D2277">
        <w:rPr>
          <w:rFonts w:hint="cs"/>
          <w:rtl/>
        </w:rPr>
        <w:t xml:space="preserve"> כי "קשה להניח" כי דלת הקרוואן הייתה פתוחה בשעת לילה מאוחרת בליל חורף, וכי גם דלת פתוחה אינה מקנה זכות לחדור לרשות הפרט. כך גם עובדת היותו של שלתיאל בתוך הקרוואן אינה מאפשרת את החיפוש משצו החיפוש הורה מפורשות כי את החיפוש יש ל</w:t>
      </w:r>
      <w:r w:rsidR="00865DA7">
        <w:rPr>
          <w:rFonts w:hint="cs"/>
          <w:rtl/>
        </w:rPr>
        <w:t xml:space="preserve">בצע רק ביחידת הדיור של שלתיאל. </w:t>
      </w:r>
      <w:r w:rsidR="004D2277">
        <w:rPr>
          <w:rFonts w:hint="cs"/>
          <w:rtl/>
        </w:rPr>
        <w:t xml:space="preserve">בעיקר </w:t>
      </w:r>
      <w:r w:rsidR="004D2277">
        <w:rPr>
          <w:rtl/>
        </w:rPr>
        <w:t>–</w:t>
      </w:r>
      <w:r w:rsidR="004D2277">
        <w:rPr>
          <w:rFonts w:hint="cs"/>
          <w:rtl/>
        </w:rPr>
        <w:t xml:space="preserve"> </w:t>
      </w:r>
      <w:r w:rsidR="00325F79">
        <w:rPr>
          <w:rFonts w:hint="cs"/>
          <w:rtl/>
        </w:rPr>
        <w:t xml:space="preserve">נקבע כי </w:t>
      </w:r>
      <w:r w:rsidR="004D2277">
        <w:rPr>
          <w:rFonts w:hint="cs"/>
          <w:rtl/>
        </w:rPr>
        <w:t xml:space="preserve">טענה זו מניחה את המבוקש שהרי לשוטרים נודע על נוכחותו של שלתיאל </w:t>
      </w:r>
      <w:r w:rsidR="00325F79">
        <w:rPr>
          <w:rFonts w:hint="cs"/>
          <w:rtl/>
        </w:rPr>
        <w:t>בקרוואן</w:t>
      </w:r>
      <w:r w:rsidR="004D2277">
        <w:rPr>
          <w:rFonts w:hint="cs"/>
          <w:rtl/>
        </w:rPr>
        <w:t xml:space="preserve"> רק משנכנסו באופן לא חוקי </w:t>
      </w:r>
      <w:r w:rsidR="00325F79">
        <w:rPr>
          <w:rFonts w:hint="cs"/>
          <w:rtl/>
        </w:rPr>
        <w:t>לתוכו</w:t>
      </w:r>
      <w:r w:rsidR="004D2277">
        <w:rPr>
          <w:rFonts w:hint="cs"/>
          <w:rtl/>
        </w:rPr>
        <w:t xml:space="preserve">. </w:t>
      </w:r>
    </w:p>
    <w:p w:rsidR="00E10D03" w:rsidRDefault="004D2277" w:rsidP="00760094">
      <w:pPr>
        <w:pStyle w:val="Ruller4"/>
        <w:rPr>
          <w:rtl/>
        </w:rPr>
      </w:pPr>
      <w:r>
        <w:rPr>
          <w:rtl/>
        </w:rPr>
        <w:tab/>
      </w:r>
      <w:r w:rsidR="00462435">
        <w:rPr>
          <w:rFonts w:hint="cs"/>
          <w:rtl/>
        </w:rPr>
        <w:t xml:space="preserve">ביחס לאפשרות </w:t>
      </w:r>
      <w:r>
        <w:rPr>
          <w:rFonts w:hint="cs"/>
          <w:rtl/>
        </w:rPr>
        <w:t xml:space="preserve">ביסוס החיפוש על חשד סביר כלפי המערער, צוין כי </w:t>
      </w:r>
      <w:r w:rsidR="008D7D28">
        <w:rPr>
          <w:rFonts w:hint="cs"/>
          <w:rtl/>
        </w:rPr>
        <w:t>המשיבה</w:t>
      </w:r>
      <w:r>
        <w:rPr>
          <w:rFonts w:hint="cs"/>
          <w:rtl/>
        </w:rPr>
        <w:t xml:space="preserve"> אישרה בסיום פרשת </w:t>
      </w:r>
      <w:r w:rsidR="003E48C2">
        <w:rPr>
          <w:rFonts w:hint="cs"/>
          <w:rtl/>
        </w:rPr>
        <w:t>ההוכחות כי לא תעתור לקביעה שכזו</w:t>
      </w:r>
      <w:r>
        <w:rPr>
          <w:rFonts w:hint="cs"/>
          <w:rtl/>
        </w:rPr>
        <w:t xml:space="preserve">. </w:t>
      </w:r>
      <w:r w:rsidR="00E10D03">
        <w:rPr>
          <w:rFonts w:hint="cs"/>
          <w:rtl/>
        </w:rPr>
        <w:t xml:space="preserve">עוד הובהר, כי אין צורך לדון האם הפגם שבהתנהלות השוטרים </w:t>
      </w:r>
      <w:r w:rsidR="00FE4756">
        <w:rPr>
          <w:rFonts w:hint="cs"/>
          <w:rtl/>
        </w:rPr>
        <w:t>תוקן</w:t>
      </w:r>
      <w:r w:rsidR="00E10D03">
        <w:rPr>
          <w:rFonts w:hint="cs"/>
          <w:rtl/>
        </w:rPr>
        <w:t xml:space="preserve"> בשל הסכמה מדעת, משלא נעשה כל ניסיון לקבל הסכמה </w:t>
      </w:r>
      <w:r w:rsidR="00325F79">
        <w:rPr>
          <w:rFonts w:hint="cs"/>
          <w:rtl/>
        </w:rPr>
        <w:t>שכזו</w:t>
      </w:r>
      <w:r w:rsidR="00865DA7">
        <w:rPr>
          <w:rFonts w:hint="cs"/>
          <w:rtl/>
        </w:rPr>
        <w:t xml:space="preserve">. </w:t>
      </w:r>
      <w:r w:rsidR="00E10D03">
        <w:rPr>
          <w:rFonts w:hint="cs"/>
          <w:rtl/>
        </w:rPr>
        <w:t>נוסף לכך, החיפוש בקרוואן בו מתג</w:t>
      </w:r>
      <w:r w:rsidR="00325F79">
        <w:rPr>
          <w:rFonts w:hint="cs"/>
          <w:rtl/>
        </w:rPr>
        <w:t xml:space="preserve">ורר המערער בוצע ללא עדים כנדרש. </w:t>
      </w:r>
      <w:r w:rsidR="00E10D03">
        <w:rPr>
          <w:rFonts w:hint="cs"/>
          <w:rtl/>
        </w:rPr>
        <w:t xml:space="preserve">מכלל טעמים אלו, בית משפט השלום כינה את </w:t>
      </w:r>
      <w:r w:rsidR="00760094">
        <w:rPr>
          <w:rFonts w:hint="cs"/>
          <w:rtl/>
        </w:rPr>
        <w:t>אופן ביצוע החיפוש כ</w:t>
      </w:r>
      <w:r w:rsidR="00E10D03">
        <w:rPr>
          <w:rFonts w:hint="cs"/>
          <w:rtl/>
        </w:rPr>
        <w:t xml:space="preserve">"כושל" </w:t>
      </w:r>
      <w:r w:rsidR="00760094">
        <w:rPr>
          <w:rFonts w:hint="cs"/>
          <w:rtl/>
        </w:rPr>
        <w:t>ו</w:t>
      </w:r>
      <w:r w:rsidR="005026FE">
        <w:rPr>
          <w:rFonts w:hint="cs"/>
          <w:rtl/>
        </w:rPr>
        <w:t xml:space="preserve">ציין </w:t>
      </w:r>
      <w:r w:rsidR="00760094">
        <w:rPr>
          <w:rFonts w:hint="cs"/>
          <w:rtl/>
        </w:rPr>
        <w:t>כי</w:t>
      </w:r>
      <w:r w:rsidR="00E10D03">
        <w:rPr>
          <w:rFonts w:hint="cs"/>
          <w:rtl/>
        </w:rPr>
        <w:t xml:space="preserve"> השוטרים פעלו בהעדר כל מודעות לגבולות סמכותם, </w:t>
      </w:r>
      <w:r w:rsidR="00865DA7">
        <w:rPr>
          <w:rFonts w:hint="cs"/>
          <w:rtl/>
        </w:rPr>
        <w:t>ל</w:t>
      </w:r>
      <w:r w:rsidR="00E10D03">
        <w:rPr>
          <w:rFonts w:hint="cs"/>
          <w:rtl/>
        </w:rPr>
        <w:t>הוראות הדין ו</w:t>
      </w:r>
      <w:r w:rsidR="00865DA7">
        <w:rPr>
          <w:rFonts w:hint="cs"/>
          <w:rtl/>
        </w:rPr>
        <w:t>ל</w:t>
      </w:r>
      <w:r w:rsidR="00E10D03">
        <w:rPr>
          <w:rFonts w:hint="cs"/>
          <w:rtl/>
        </w:rPr>
        <w:t xml:space="preserve">זכויות הפרט. </w:t>
      </w:r>
    </w:p>
    <w:p w:rsidR="00E10D03" w:rsidRPr="004D2277" w:rsidRDefault="00E10D03" w:rsidP="00E10D03">
      <w:pPr>
        <w:pStyle w:val="Ruller4"/>
        <w:rPr>
          <w:rtl/>
        </w:rPr>
      </w:pPr>
    </w:p>
    <w:p w:rsidR="00760094" w:rsidRDefault="00E10D03" w:rsidP="005026FE">
      <w:pPr>
        <w:pStyle w:val="Ruller41"/>
        <w:numPr>
          <w:ilvl w:val="0"/>
          <w:numId w:val="11"/>
        </w:numPr>
        <w:overflowPunct/>
        <w:autoSpaceDE/>
        <w:autoSpaceDN/>
        <w:adjustRightInd/>
        <w:spacing w:after="420"/>
        <w:textAlignment w:val="auto"/>
      </w:pPr>
      <w:r>
        <w:rPr>
          <w:rFonts w:hint="cs"/>
          <w:rtl/>
        </w:rPr>
        <w:t xml:space="preserve">בשלב זה בית משפט השלום </w:t>
      </w:r>
      <w:r w:rsidR="00D41015">
        <w:rPr>
          <w:rFonts w:hint="cs"/>
          <w:rtl/>
        </w:rPr>
        <w:t xml:space="preserve">פנה </w:t>
      </w:r>
      <w:r>
        <w:rPr>
          <w:rFonts w:hint="cs"/>
          <w:rtl/>
        </w:rPr>
        <w:t xml:space="preserve">לדון במשמעויות הנגזרות מאי-חוקיות </w:t>
      </w:r>
      <w:r w:rsidR="00760094">
        <w:rPr>
          <w:rFonts w:hint="cs"/>
          <w:rtl/>
        </w:rPr>
        <w:t xml:space="preserve">ביצוע </w:t>
      </w:r>
      <w:r>
        <w:rPr>
          <w:rFonts w:hint="cs"/>
          <w:rtl/>
        </w:rPr>
        <w:t>החיפוש, תוך יישום דוקטרינת הפסילה הפסיקתית</w:t>
      </w:r>
      <w:r w:rsidR="005026FE">
        <w:rPr>
          <w:rFonts w:hint="cs"/>
          <w:rtl/>
        </w:rPr>
        <w:t>.</w:t>
      </w:r>
      <w:r>
        <w:rPr>
          <w:rFonts w:hint="cs"/>
          <w:rtl/>
        </w:rPr>
        <w:t xml:space="preserve"> </w:t>
      </w:r>
      <w:r w:rsidR="00446262">
        <w:rPr>
          <w:rFonts w:hint="cs"/>
          <w:rtl/>
        </w:rPr>
        <w:t xml:space="preserve">הודגש כי ביצוע חיפוש משטרתי פתאומי בביתו של אדם, ללא סמכות ומבלי שקם נגדו כל חשד, גורם לפגיעה קשה בזכות להליך הוגן. פגם זה חמור במיוחד </w:t>
      </w:r>
      <w:r w:rsidR="00325F79">
        <w:rPr>
          <w:rFonts w:hint="cs"/>
          <w:rtl/>
        </w:rPr>
        <w:t>מש</w:t>
      </w:r>
      <w:r w:rsidR="00D41015">
        <w:rPr>
          <w:rFonts w:hint="cs"/>
          <w:rtl/>
        </w:rPr>
        <w:t xml:space="preserve">מדובר במבצע חיפוש יזום ומתוכנן, שנפלו בו כשלים רבים במספר שלבים. בראי זאת, נקבע כי לא ניתן </w:t>
      </w:r>
      <w:r w:rsidR="00760094">
        <w:rPr>
          <w:rFonts w:hint="cs"/>
          <w:rtl/>
        </w:rPr>
        <w:t>"</w:t>
      </w:r>
      <w:r w:rsidR="00D41015">
        <w:rPr>
          <w:rFonts w:hint="cs"/>
          <w:rtl/>
        </w:rPr>
        <w:t>להשקיף</w:t>
      </w:r>
      <w:r w:rsidR="00760094">
        <w:rPr>
          <w:rFonts w:hint="cs"/>
          <w:rtl/>
        </w:rPr>
        <w:t>"</w:t>
      </w:r>
      <w:r w:rsidR="00D41015">
        <w:rPr>
          <w:rFonts w:hint="cs"/>
          <w:rtl/>
        </w:rPr>
        <w:t xml:space="preserve"> על התנהלות השוטרים כטעות ב</w:t>
      </w:r>
      <w:r w:rsidR="00325F79">
        <w:rPr>
          <w:rFonts w:hint="cs"/>
          <w:rtl/>
        </w:rPr>
        <w:t xml:space="preserve">תום לב, וכי המקרה </w:t>
      </w:r>
      <w:r w:rsidR="003E48C2">
        <w:rPr>
          <w:rFonts w:hint="cs"/>
          <w:rtl/>
        </w:rPr>
        <w:t>מבטא</w:t>
      </w:r>
      <w:r w:rsidR="00D41015">
        <w:rPr>
          <w:rFonts w:hint="cs"/>
          <w:rtl/>
        </w:rPr>
        <w:t xml:space="preserve"> התנהלות מודעת, </w:t>
      </w:r>
      <w:r w:rsidR="00325F79">
        <w:rPr>
          <w:rFonts w:hint="cs"/>
          <w:rtl/>
        </w:rPr>
        <w:t>ו</w:t>
      </w:r>
      <w:r w:rsidR="00D41015">
        <w:rPr>
          <w:rFonts w:hint="cs"/>
          <w:rtl/>
        </w:rPr>
        <w:t>לכל הפחות עצימת עיניים</w:t>
      </w:r>
      <w:r w:rsidR="00325F79">
        <w:rPr>
          <w:rFonts w:hint="cs"/>
          <w:rtl/>
        </w:rPr>
        <w:t>,</w:t>
      </w:r>
      <w:r w:rsidR="00D41015">
        <w:rPr>
          <w:rFonts w:hint="cs"/>
          <w:rtl/>
        </w:rPr>
        <w:t xml:space="preserve"> לזכויות המערער ו</w:t>
      </w:r>
      <w:r w:rsidR="00865DA7">
        <w:rPr>
          <w:rFonts w:hint="cs"/>
          <w:rtl/>
        </w:rPr>
        <w:t>ל</w:t>
      </w:r>
      <w:r w:rsidR="00D41015">
        <w:rPr>
          <w:rFonts w:hint="cs"/>
          <w:rtl/>
        </w:rPr>
        <w:t xml:space="preserve">פגיעה בהן. אף צוין כי המקרה </w:t>
      </w:r>
      <w:r w:rsidR="003E48C2">
        <w:rPr>
          <w:rFonts w:hint="cs"/>
          <w:rtl/>
        </w:rPr>
        <w:t>חושף</w:t>
      </w:r>
      <w:r w:rsidR="00D41015">
        <w:rPr>
          <w:rFonts w:hint="cs"/>
          <w:rtl/>
        </w:rPr>
        <w:t xml:space="preserve"> "בעייתיות מערכתית" נוכח האופן שבו </w:t>
      </w:r>
      <w:r w:rsidR="008D7D28">
        <w:rPr>
          <w:rFonts w:hint="cs"/>
          <w:rtl/>
        </w:rPr>
        <w:t>המשיבה</w:t>
      </w:r>
      <w:r w:rsidR="00D41015">
        <w:rPr>
          <w:rFonts w:hint="cs"/>
          <w:rtl/>
        </w:rPr>
        <w:t xml:space="preserve"> מפרשת את גבולות הסמכות בעת ביצוע צווי חיפוש. משכך, אופיו של הפסול בחיפוש הוא "</w:t>
      </w:r>
      <w:r w:rsidR="00D41015" w:rsidRPr="00D41015">
        <w:rPr>
          <w:rFonts w:ascii="Century" w:hAnsi="Century" w:cs="Miriam" w:hint="cs"/>
          <w:b/>
          <w:spacing w:val="0"/>
          <w:sz w:val="22"/>
          <w:szCs w:val="24"/>
          <w:rtl/>
        </w:rPr>
        <w:t>מן הרף הגבוה ביותר</w:t>
      </w:r>
      <w:r w:rsidR="00D41015">
        <w:rPr>
          <w:rFonts w:hint="cs"/>
          <w:rtl/>
        </w:rPr>
        <w:t>"</w:t>
      </w:r>
      <w:r w:rsidR="00554AC3">
        <w:rPr>
          <w:rFonts w:hint="cs"/>
          <w:rtl/>
        </w:rPr>
        <w:t>.</w:t>
      </w:r>
      <w:r w:rsidR="00325F79">
        <w:rPr>
          <w:rFonts w:hint="cs"/>
          <w:rtl/>
        </w:rPr>
        <w:t xml:space="preserve"> </w:t>
      </w:r>
    </w:p>
    <w:p w:rsidR="003B782F" w:rsidRPr="003B782F" w:rsidRDefault="00760094" w:rsidP="00760094">
      <w:pPr>
        <w:pStyle w:val="Ruller41"/>
        <w:tabs>
          <w:tab w:val="clear" w:pos="907"/>
        </w:tabs>
        <w:overflowPunct/>
        <w:autoSpaceDE/>
        <w:autoSpaceDN/>
        <w:adjustRightInd/>
        <w:spacing w:after="420"/>
        <w:textAlignment w:val="auto"/>
        <w:rPr>
          <w:rtl/>
        </w:rPr>
      </w:pPr>
      <w:r>
        <w:rPr>
          <w:rtl/>
        </w:rPr>
        <w:tab/>
      </w:r>
      <w:r w:rsidR="003B782F">
        <w:rPr>
          <w:rFonts w:hint="cs"/>
          <w:rtl/>
        </w:rPr>
        <w:t>בית משפט השלום עמד על כך שאלמלא הפגם</w:t>
      </w:r>
      <w:r w:rsidR="00865DA7">
        <w:rPr>
          <w:rFonts w:hint="cs"/>
          <w:rtl/>
        </w:rPr>
        <w:t>,</w:t>
      </w:r>
      <w:r w:rsidR="003B782F">
        <w:rPr>
          <w:rFonts w:hint="cs"/>
          <w:rtl/>
        </w:rPr>
        <w:t xml:space="preserve"> לא היה נודע לשוטרים על הימצאות הסמים, ולצד זאת על כך שמדובר בראיה </w:t>
      </w:r>
      <w:proofErr w:type="spellStart"/>
      <w:r w:rsidR="003B782F">
        <w:rPr>
          <w:rFonts w:hint="cs"/>
          <w:rtl/>
        </w:rPr>
        <w:t>חפצית</w:t>
      </w:r>
      <w:proofErr w:type="spellEnd"/>
      <w:r w:rsidR="003B782F">
        <w:rPr>
          <w:rFonts w:hint="cs"/>
          <w:rtl/>
        </w:rPr>
        <w:t>, שבה בדרך כלל הפגם שדבק באופן השגתה אינו משפיע על מהימנותה. במסגרת בחינת המחיר החברתי הכרוך בפסילת הראיה לעומת התועלת החברתית שבפסילתה, הודגש, בין היתר, טיב האישום, כאשר לא מיוחסת למערער עבירה של סחר בס</w:t>
      </w:r>
      <w:r>
        <w:rPr>
          <w:rFonts w:hint="cs"/>
          <w:rtl/>
        </w:rPr>
        <w:t xml:space="preserve">מים, אלא החזקה שלא לצריכה עצמית, וכן </w:t>
      </w:r>
      <w:r>
        <w:rPr>
          <w:rFonts w:ascii="FrankRuehl" w:hAnsi="FrankRuehl" w:hint="cs"/>
          <w:color w:val="000000"/>
          <w:sz w:val="28"/>
          <w:rtl/>
        </w:rPr>
        <w:t>צוין של</w:t>
      </w:r>
      <w:r>
        <w:rPr>
          <w:rFonts w:ascii="FrankRuehl" w:hAnsi="FrankRuehl"/>
          <w:color w:val="000000"/>
          <w:sz w:val="28"/>
          <w:rtl/>
        </w:rPr>
        <w:t xml:space="preserve">פי חוות דעת מומחה </w:t>
      </w:r>
      <w:r>
        <w:rPr>
          <w:rFonts w:ascii="FrankRuehl" w:hAnsi="FrankRuehl" w:hint="cs"/>
          <w:color w:val="000000"/>
          <w:sz w:val="28"/>
          <w:rtl/>
        </w:rPr>
        <w:t>החומר שנתפס הוא חומר</w:t>
      </w:r>
      <w:r>
        <w:rPr>
          <w:rFonts w:ascii="FrankRuehl" w:hAnsi="FrankRuehl"/>
          <w:color w:val="000000"/>
          <w:sz w:val="28"/>
          <w:rtl/>
        </w:rPr>
        <w:t xml:space="preserve"> צמחי שריכוז החומר הפעיל בו נמוך יחסית</w:t>
      </w:r>
      <w:r>
        <w:rPr>
          <w:rFonts w:hint="cs"/>
          <w:rtl/>
        </w:rPr>
        <w:t>.</w:t>
      </w:r>
      <w:r w:rsidR="003B782F">
        <w:rPr>
          <w:rFonts w:hint="cs"/>
          <w:rtl/>
        </w:rPr>
        <w:t xml:space="preserve"> כמו כן, אין מדובר בכמות סם גבוהה במיוחד ו"אין המדובר בעבירה מן הרף החמור". נקבע על כן כי התועלת מפסילת פירות החיפוש הפסול עולה עשרת מונים על אינטרס האכיפה נגד עבירת הסמים. </w:t>
      </w:r>
      <w:r w:rsidR="003E48C2">
        <w:rPr>
          <w:rFonts w:hint="cs"/>
          <w:rtl/>
        </w:rPr>
        <w:t>בשקלול אמור</w:t>
      </w:r>
      <w:r w:rsidR="00325F79">
        <w:rPr>
          <w:rFonts w:hint="cs"/>
          <w:rtl/>
        </w:rPr>
        <w:t xml:space="preserve"> </w:t>
      </w:r>
      <w:r w:rsidR="00325F79">
        <w:rPr>
          <w:rtl/>
        </w:rPr>
        <w:t>–</w:t>
      </w:r>
      <w:r w:rsidR="00325F79">
        <w:rPr>
          <w:rFonts w:hint="cs"/>
          <w:rtl/>
        </w:rPr>
        <w:t xml:space="preserve"> </w:t>
      </w:r>
      <w:r w:rsidR="003B782F">
        <w:rPr>
          <w:rFonts w:hint="cs"/>
          <w:rtl/>
        </w:rPr>
        <w:t xml:space="preserve">נפסלו הסמים שנתפסו בבית המערער מלשמש כראיה. </w:t>
      </w:r>
    </w:p>
    <w:p w:rsidR="00DA1952" w:rsidRDefault="00325F79" w:rsidP="00DA1952">
      <w:pPr>
        <w:pStyle w:val="Ruller41"/>
        <w:numPr>
          <w:ilvl w:val="0"/>
          <w:numId w:val="11"/>
        </w:numPr>
        <w:overflowPunct/>
        <w:autoSpaceDE/>
        <w:autoSpaceDN/>
        <w:adjustRightInd/>
        <w:spacing w:after="420"/>
        <w:textAlignment w:val="auto"/>
      </w:pPr>
      <w:r>
        <w:rPr>
          <w:rFonts w:hint="cs"/>
          <w:rtl/>
        </w:rPr>
        <w:t xml:space="preserve">לאחר זאת, </w:t>
      </w:r>
      <w:r w:rsidR="003B782F">
        <w:rPr>
          <w:rFonts w:hint="cs"/>
          <w:rtl/>
        </w:rPr>
        <w:t xml:space="preserve">בית משפט השלום נדרש להכריע </w:t>
      </w:r>
      <w:r w:rsidR="000300AD">
        <w:rPr>
          <w:rFonts w:hint="cs"/>
          <w:rtl/>
        </w:rPr>
        <w:t xml:space="preserve">באשר לקבילות הראיות הנגזרות </w:t>
      </w:r>
      <w:r w:rsidR="000300AD">
        <w:rPr>
          <w:rtl/>
        </w:rPr>
        <w:t>–</w:t>
      </w:r>
      <w:r w:rsidR="000300AD">
        <w:rPr>
          <w:rFonts w:hint="cs"/>
          <w:rtl/>
        </w:rPr>
        <w:t xml:space="preserve"> הודעות המערער שב</w:t>
      </w:r>
      <w:r w:rsidR="00820D1F">
        <w:rPr>
          <w:rFonts w:hint="cs"/>
          <w:rtl/>
        </w:rPr>
        <w:t>ה</w:t>
      </w:r>
      <w:r w:rsidR="000300AD">
        <w:rPr>
          <w:rFonts w:hint="cs"/>
          <w:rtl/>
        </w:rPr>
        <w:t xml:space="preserve">ן הודה בהחזקת הסמים. המערער לא העיד להגנתו, כך שלצורך הרשעתו על בסיס אמרות חוץ אלו נדרש </w:t>
      </w:r>
      <w:r w:rsidR="00760094">
        <w:rPr>
          <w:rFonts w:hint="cs"/>
          <w:rtl/>
        </w:rPr>
        <w:t>"</w:t>
      </w:r>
      <w:r w:rsidR="000300AD">
        <w:rPr>
          <w:rFonts w:hint="cs"/>
          <w:rtl/>
        </w:rPr>
        <w:t>דבר מה</w:t>
      </w:r>
      <w:r w:rsidR="00760094">
        <w:rPr>
          <w:rFonts w:hint="cs"/>
          <w:rtl/>
        </w:rPr>
        <w:t>"</w:t>
      </w:r>
      <w:r w:rsidR="000300AD">
        <w:rPr>
          <w:rFonts w:hint="cs"/>
          <w:rtl/>
        </w:rPr>
        <w:t xml:space="preserve"> </w:t>
      </w:r>
      <w:r w:rsidR="00760094">
        <w:rPr>
          <w:rFonts w:hint="cs"/>
          <w:rtl/>
        </w:rPr>
        <w:t>נוסף</w:t>
      </w:r>
      <w:r w:rsidR="000300AD">
        <w:rPr>
          <w:rFonts w:hint="cs"/>
          <w:rtl/>
        </w:rPr>
        <w:t>. נקבע כי אמרות המערער הן בעלות זיקה ישירה לחיפוש הפסול "</w:t>
      </w:r>
      <w:r w:rsidR="000300AD" w:rsidRPr="00325F79">
        <w:rPr>
          <w:rFonts w:ascii="Century" w:hAnsi="Century" w:cs="Miriam" w:hint="cs"/>
          <w:b/>
          <w:spacing w:val="0"/>
          <w:sz w:val="22"/>
          <w:szCs w:val="24"/>
          <w:rtl/>
        </w:rPr>
        <w:t>ונמסרו כשהוא חש עצמו כבול לחלוטין לממצאי החיפוש, ולהודאתו בפני השוטרים</w:t>
      </w:r>
      <w:r w:rsidR="000300AD">
        <w:rPr>
          <w:rFonts w:hint="cs"/>
          <w:rtl/>
        </w:rPr>
        <w:t>". בהתאם, נפסלו הודעות המערער (ת/6 ו-ת/7) מלשמש כראיה</w:t>
      </w:r>
      <w:r w:rsidR="00760094">
        <w:rPr>
          <w:rFonts w:hint="cs"/>
          <w:rtl/>
        </w:rPr>
        <w:t xml:space="preserve"> קבילה</w:t>
      </w:r>
      <w:r w:rsidR="000300AD">
        <w:rPr>
          <w:rFonts w:hint="cs"/>
          <w:rtl/>
        </w:rPr>
        <w:t>.</w:t>
      </w:r>
    </w:p>
    <w:p w:rsidR="000300AD" w:rsidRDefault="00DA1952" w:rsidP="000309FE">
      <w:pPr>
        <w:pStyle w:val="Ruller41"/>
        <w:tabs>
          <w:tab w:val="clear" w:pos="907"/>
        </w:tabs>
        <w:overflowPunct/>
        <w:autoSpaceDE/>
        <w:autoSpaceDN/>
        <w:adjustRightInd/>
        <w:spacing w:after="420"/>
        <w:textAlignment w:val="auto"/>
        <w:rPr>
          <w:rtl/>
        </w:rPr>
      </w:pPr>
      <w:r>
        <w:rPr>
          <w:rtl/>
        </w:rPr>
        <w:tab/>
      </w:r>
      <w:r>
        <w:rPr>
          <w:rFonts w:hint="cs"/>
          <w:rtl/>
        </w:rPr>
        <w:t>מש</w:t>
      </w:r>
      <w:r w:rsidR="000300AD">
        <w:rPr>
          <w:rFonts w:hint="cs"/>
          <w:rtl/>
        </w:rPr>
        <w:t xml:space="preserve">הסמים שנתפסו </w:t>
      </w:r>
      <w:r>
        <w:rPr>
          <w:rFonts w:hint="cs"/>
          <w:rtl/>
        </w:rPr>
        <w:t>נפסלו לשימוש כראיה בדומה ל</w:t>
      </w:r>
      <w:r w:rsidR="000300AD">
        <w:rPr>
          <w:rFonts w:hint="cs"/>
          <w:rtl/>
        </w:rPr>
        <w:t>הודעות המערער, ומשאין די בשתיקת</w:t>
      </w:r>
      <w:r w:rsidR="000309FE">
        <w:rPr>
          <w:rFonts w:hint="cs"/>
          <w:rtl/>
        </w:rPr>
        <w:t>ו</w:t>
      </w:r>
      <w:r w:rsidR="000300AD">
        <w:rPr>
          <w:rFonts w:hint="cs"/>
          <w:rtl/>
        </w:rPr>
        <w:t xml:space="preserve"> לביסוס הרשעה </w:t>
      </w:r>
      <w:r w:rsidR="000300AD">
        <w:rPr>
          <w:rtl/>
        </w:rPr>
        <w:t>–</w:t>
      </w:r>
      <w:r w:rsidR="000300AD">
        <w:rPr>
          <w:rFonts w:hint="cs"/>
          <w:rtl/>
        </w:rPr>
        <w:t xml:space="preserve"> זוכה מן המיוחס לו. </w:t>
      </w:r>
    </w:p>
    <w:p w:rsidR="00377BF0" w:rsidRPr="00377BF0" w:rsidRDefault="00377BF0" w:rsidP="00377BF0">
      <w:pPr>
        <w:pStyle w:val="Ruller41"/>
        <w:tabs>
          <w:tab w:val="clear" w:pos="907"/>
        </w:tabs>
        <w:overflowPunct/>
        <w:autoSpaceDE/>
        <w:autoSpaceDN/>
        <w:adjustRightInd/>
        <w:spacing w:after="420"/>
        <w:textAlignment w:val="auto"/>
        <w:rPr>
          <w:rFonts w:ascii="Century" w:hAnsi="Century" w:cs="Miriam"/>
          <w:b/>
          <w:spacing w:val="0"/>
          <w:sz w:val="22"/>
          <w:szCs w:val="24"/>
        </w:rPr>
      </w:pPr>
      <w:r w:rsidRPr="00377BF0">
        <w:rPr>
          <w:rFonts w:ascii="Century" w:hAnsi="Century" w:cs="Miriam" w:hint="cs"/>
          <w:b/>
          <w:spacing w:val="0"/>
          <w:sz w:val="22"/>
          <w:szCs w:val="24"/>
          <w:rtl/>
        </w:rPr>
        <w:t>הערעור הראשון</w:t>
      </w:r>
      <w:r w:rsidR="00462435">
        <w:rPr>
          <w:rFonts w:ascii="Century" w:hAnsi="Century" w:cs="Miriam" w:hint="cs"/>
          <w:b/>
          <w:spacing w:val="0"/>
          <w:sz w:val="22"/>
          <w:szCs w:val="24"/>
          <w:rtl/>
        </w:rPr>
        <w:t xml:space="preserve"> לבית המשפט המחוזי</w:t>
      </w:r>
    </w:p>
    <w:p w:rsidR="00944B1C" w:rsidRDefault="00964671" w:rsidP="003E48C2">
      <w:pPr>
        <w:pStyle w:val="Ruller41"/>
        <w:numPr>
          <w:ilvl w:val="0"/>
          <w:numId w:val="11"/>
        </w:numPr>
        <w:overflowPunct/>
        <w:autoSpaceDE/>
        <w:autoSpaceDN/>
        <w:adjustRightInd/>
        <w:spacing w:after="420"/>
        <w:textAlignment w:val="auto"/>
        <w:rPr>
          <w:rtl/>
        </w:rPr>
      </w:pPr>
      <w:r>
        <w:rPr>
          <w:rFonts w:hint="cs"/>
          <w:rtl/>
        </w:rPr>
        <w:t xml:space="preserve">ערעור </w:t>
      </w:r>
      <w:r w:rsidR="008D7D28">
        <w:rPr>
          <w:rFonts w:hint="cs"/>
          <w:rtl/>
        </w:rPr>
        <w:t>המשיבה</w:t>
      </w:r>
      <w:r>
        <w:rPr>
          <w:rFonts w:hint="cs"/>
          <w:rtl/>
        </w:rPr>
        <w:t xml:space="preserve"> </w:t>
      </w:r>
      <w:r w:rsidR="00760094">
        <w:rPr>
          <w:rFonts w:hint="cs"/>
          <w:rtl/>
        </w:rPr>
        <w:t xml:space="preserve">לבית המשפט המחוזי </w:t>
      </w:r>
      <w:r>
        <w:rPr>
          <w:rFonts w:hint="cs"/>
          <w:rtl/>
        </w:rPr>
        <w:t xml:space="preserve">על הכרעת הדין התקבל, ברוב היבטיו. כך, נקבע </w:t>
      </w:r>
      <w:r w:rsidR="00FE4756">
        <w:rPr>
          <w:rFonts w:hint="cs"/>
          <w:rtl/>
        </w:rPr>
        <w:t>ש</w:t>
      </w:r>
      <w:r>
        <w:rPr>
          <w:rFonts w:hint="cs"/>
          <w:rtl/>
        </w:rPr>
        <w:t xml:space="preserve">אין לקבל את קביעת בית משפט השלום כי צו החיפוש התיר חיפוש במקום מגוריו של שלתיאל בלבד. </w:t>
      </w:r>
      <w:r w:rsidR="001766DD">
        <w:rPr>
          <w:rFonts w:hint="cs"/>
          <w:rtl/>
        </w:rPr>
        <w:t>צוין, כי משהמשטרה לא ידעה את מקום מגוריו המדויק של שלתיאל</w:t>
      </w:r>
      <w:r w:rsidR="00325F79">
        <w:rPr>
          <w:rFonts w:hint="cs"/>
          <w:rtl/>
        </w:rPr>
        <w:t xml:space="preserve"> </w:t>
      </w:r>
      <w:r w:rsidR="001766DD">
        <w:rPr>
          <w:rFonts w:hint="cs"/>
          <w:rtl/>
        </w:rPr>
        <w:t>"</w:t>
      </w:r>
      <w:r w:rsidR="001766DD" w:rsidRPr="001766DD">
        <w:rPr>
          <w:rFonts w:ascii="Century" w:hAnsi="Century" w:cs="Miriam" w:hint="cs"/>
          <w:b/>
          <w:spacing w:val="0"/>
          <w:sz w:val="22"/>
          <w:szCs w:val="24"/>
          <w:rtl/>
        </w:rPr>
        <w:t xml:space="preserve">טוב עשתה </w:t>
      </w:r>
      <w:r w:rsidR="00FE4756">
        <w:rPr>
          <w:rFonts w:ascii="Century" w:hAnsi="Century" w:cs="Miriam" w:hint="cs"/>
          <w:b/>
          <w:spacing w:val="0"/>
          <w:sz w:val="22"/>
          <w:szCs w:val="24"/>
          <w:rtl/>
        </w:rPr>
        <w:t>[...]</w:t>
      </w:r>
      <w:r w:rsidR="001766DD" w:rsidRPr="001766DD">
        <w:rPr>
          <w:rFonts w:ascii="Century" w:hAnsi="Century" w:cs="Miriam" w:hint="cs"/>
          <w:b/>
          <w:spacing w:val="0"/>
          <w:sz w:val="22"/>
          <w:szCs w:val="24"/>
          <w:rtl/>
        </w:rPr>
        <w:t xml:space="preserve"> כאשר בקשה לתחום את החיפוש לתא שטח שסומן בצורה ברורה בתצלום אוויר</w:t>
      </w:r>
      <w:r w:rsidR="001766DD">
        <w:rPr>
          <w:rFonts w:hint="cs"/>
          <w:rtl/>
        </w:rPr>
        <w:t>"</w:t>
      </w:r>
      <w:r w:rsidR="00FE165E">
        <w:rPr>
          <w:rFonts w:hint="cs"/>
          <w:rtl/>
        </w:rPr>
        <w:t>.</w:t>
      </w:r>
    </w:p>
    <w:p w:rsidR="0051491A" w:rsidRDefault="00325F79" w:rsidP="009A595D">
      <w:pPr>
        <w:pStyle w:val="Ruller41"/>
        <w:numPr>
          <w:ilvl w:val="0"/>
          <w:numId w:val="11"/>
        </w:numPr>
        <w:overflowPunct/>
        <w:autoSpaceDE/>
        <w:autoSpaceDN/>
        <w:adjustRightInd/>
        <w:spacing w:after="420"/>
        <w:textAlignment w:val="auto"/>
        <w:rPr>
          <w:rtl/>
        </w:rPr>
      </w:pPr>
      <w:r>
        <w:rPr>
          <w:rFonts w:hint="cs"/>
          <w:rtl/>
        </w:rPr>
        <w:t xml:space="preserve">בניגוד לקביעת בית משפט השלום, נקבע כי </w:t>
      </w:r>
      <w:r w:rsidR="009A595D">
        <w:rPr>
          <w:rFonts w:hint="cs"/>
          <w:rtl/>
        </w:rPr>
        <w:t>תצלום האוויר</w:t>
      </w:r>
      <w:r w:rsidR="00FE165E">
        <w:rPr>
          <w:rFonts w:hint="cs"/>
          <w:rtl/>
        </w:rPr>
        <w:t xml:space="preserve"> לא היה כלי עזר, אלא חלק מן התשתית העובדת</w:t>
      </w:r>
      <w:r>
        <w:rPr>
          <w:rFonts w:hint="cs"/>
          <w:rtl/>
        </w:rPr>
        <w:t>ית אשר הוצגה ו</w:t>
      </w:r>
      <w:r w:rsidR="000309FE">
        <w:rPr>
          <w:rFonts w:hint="cs"/>
          <w:rtl/>
        </w:rPr>
        <w:t>ש</w:t>
      </w:r>
      <w:r>
        <w:rPr>
          <w:rFonts w:hint="cs"/>
          <w:rtl/>
        </w:rPr>
        <w:t xml:space="preserve">על בסיסה ניתן הצו. לשיטת בית המשפט המחוזי, </w:t>
      </w:r>
      <w:r w:rsidR="00FE165E">
        <w:rPr>
          <w:rFonts w:hint="cs"/>
          <w:rtl/>
        </w:rPr>
        <w:t xml:space="preserve">"הפרשנות האפשרית היחידה" לעניין היקף צו החיפוש </w:t>
      </w:r>
      <w:r>
        <w:rPr>
          <w:rFonts w:hint="cs"/>
          <w:rtl/>
        </w:rPr>
        <w:t>היא</w:t>
      </w:r>
      <w:r w:rsidR="00FE165E">
        <w:rPr>
          <w:rFonts w:hint="cs"/>
          <w:rtl/>
        </w:rPr>
        <w:t xml:space="preserve"> שניתן בו היתר לחפש בכל תא השטח המסומן</w:t>
      </w:r>
      <w:r>
        <w:rPr>
          <w:rFonts w:hint="cs"/>
          <w:rtl/>
        </w:rPr>
        <w:t xml:space="preserve"> </w:t>
      </w:r>
      <w:r w:rsidR="009A595D">
        <w:rPr>
          <w:rFonts w:hint="cs"/>
          <w:rtl/>
        </w:rPr>
        <w:t>בתצלום האוויר</w:t>
      </w:r>
      <w:r w:rsidR="00FE165E">
        <w:rPr>
          <w:rFonts w:hint="cs"/>
          <w:rtl/>
        </w:rPr>
        <w:t>, אשר כלל גם את הקרוואן שבו התגורר המערער. משכך, החיפו</w:t>
      </w:r>
      <w:r w:rsidR="00AD6389">
        <w:rPr>
          <w:rFonts w:hint="cs"/>
          <w:rtl/>
        </w:rPr>
        <w:t>ש בוצע כדין ו</w:t>
      </w:r>
      <w:r w:rsidR="00E63AB4">
        <w:rPr>
          <w:rFonts w:hint="cs"/>
          <w:rtl/>
        </w:rPr>
        <w:t xml:space="preserve">בהתאם לצו החיפוש, </w:t>
      </w:r>
      <w:r>
        <w:rPr>
          <w:rFonts w:hint="cs"/>
          <w:rtl/>
        </w:rPr>
        <w:t xml:space="preserve">לא כל שכן </w:t>
      </w:r>
      <w:r w:rsidR="00FE165E">
        <w:rPr>
          <w:rFonts w:hint="cs"/>
          <w:rtl/>
        </w:rPr>
        <w:t>שעה שבמהלך החיפוש השוטרים נתקלו בשלתיאל בקרוואן בו מתגורר המערער.</w:t>
      </w:r>
    </w:p>
    <w:p w:rsidR="002E5EB4" w:rsidRDefault="0051491A" w:rsidP="003E48C2">
      <w:pPr>
        <w:pStyle w:val="Ruller41"/>
        <w:numPr>
          <w:ilvl w:val="0"/>
          <w:numId w:val="11"/>
        </w:numPr>
        <w:overflowPunct/>
        <w:autoSpaceDE/>
        <w:autoSpaceDN/>
        <w:adjustRightInd/>
        <w:spacing w:after="420"/>
        <w:textAlignment w:val="auto"/>
      </w:pPr>
      <w:r>
        <w:rPr>
          <w:rFonts w:hint="cs"/>
          <w:rtl/>
        </w:rPr>
        <w:t>בית המשפט המחוזי הוסיף וקבע כי לא הוצגה כל ראיה שלפיה המשטרה העלימ</w:t>
      </w:r>
      <w:r w:rsidR="00AD6389">
        <w:rPr>
          <w:rFonts w:hint="cs"/>
          <w:rtl/>
        </w:rPr>
        <w:t xml:space="preserve">ה מהשופטת </w:t>
      </w:r>
      <w:r w:rsidR="00AD6389" w:rsidRPr="00AD6389">
        <w:rPr>
          <w:rFonts w:ascii="Century" w:hAnsi="Century" w:cs="Miriam" w:hint="cs"/>
          <w:b/>
          <w:spacing w:val="0"/>
          <w:sz w:val="22"/>
          <w:szCs w:val="24"/>
          <w:rtl/>
        </w:rPr>
        <w:t>דיבון סגל</w:t>
      </w:r>
      <w:r w:rsidR="005E094A" w:rsidRPr="00AD6389">
        <w:rPr>
          <w:rFonts w:hint="cs"/>
          <w:rtl/>
        </w:rPr>
        <w:t xml:space="preserve"> </w:t>
      </w:r>
      <w:r w:rsidR="005E094A">
        <w:rPr>
          <w:rFonts w:hint="cs"/>
          <w:rtl/>
        </w:rPr>
        <w:t xml:space="preserve">פרט כזה או אחר, לרבות עובדת קיומם של מספר מחזיקים במתחם; </w:t>
      </w:r>
      <w:r w:rsidR="00820D1F">
        <w:rPr>
          <w:rFonts w:hint="cs"/>
          <w:rtl/>
        </w:rPr>
        <w:t>ו</w:t>
      </w:r>
      <w:r w:rsidR="005E094A">
        <w:rPr>
          <w:rFonts w:hint="cs"/>
          <w:rtl/>
        </w:rPr>
        <w:t xml:space="preserve">כי גם לו היה מתברר שהמשטרה לא סיפקה מידע מספק לצורך דיוק צו החיפוש, עדיין אין פירוש הדבר שהצו שיצא תחת </w:t>
      </w:r>
      <w:r w:rsidR="003E48C2">
        <w:rPr>
          <w:rFonts w:hint="cs"/>
          <w:rtl/>
        </w:rPr>
        <w:t>ידי בית המשפט</w:t>
      </w:r>
      <w:r w:rsidR="005E094A">
        <w:rPr>
          <w:rFonts w:hint="cs"/>
          <w:rtl/>
        </w:rPr>
        <w:t xml:space="preserve"> הוא חסר תוקף. </w:t>
      </w:r>
      <w:r w:rsidR="00AD6389">
        <w:rPr>
          <w:rFonts w:hint="cs"/>
          <w:rtl/>
        </w:rPr>
        <w:t>בנוסף, נקבע כי</w:t>
      </w:r>
      <w:r w:rsidR="005E48A1">
        <w:rPr>
          <w:rFonts w:hint="cs"/>
          <w:rtl/>
        </w:rPr>
        <w:t xml:space="preserve"> בית משפט השלום לא דק פורתא ביחס לטיב הבהרת </w:t>
      </w:r>
      <w:r w:rsidR="008D7D28">
        <w:rPr>
          <w:rFonts w:hint="cs"/>
          <w:rtl/>
        </w:rPr>
        <w:t>המשיבה</w:t>
      </w:r>
      <w:r w:rsidR="005E48A1">
        <w:rPr>
          <w:rFonts w:hint="cs"/>
          <w:rtl/>
        </w:rPr>
        <w:t xml:space="preserve"> כי לא תבסס את חוקיות החיפוש על החשד הסביר שהיה מחוץ לקרוואן אלא על חו</w:t>
      </w:r>
      <w:r w:rsidR="00AD6389">
        <w:rPr>
          <w:rFonts w:hint="cs"/>
          <w:rtl/>
        </w:rPr>
        <w:t xml:space="preserve">קיות הצו. נומק </w:t>
      </w:r>
      <w:r w:rsidR="0046466C">
        <w:rPr>
          <w:rFonts w:hint="cs"/>
          <w:rtl/>
        </w:rPr>
        <w:t xml:space="preserve">כי טענת </w:t>
      </w:r>
      <w:r w:rsidR="008D7D28">
        <w:rPr>
          <w:rFonts w:hint="cs"/>
          <w:rtl/>
        </w:rPr>
        <w:t>המשיבה</w:t>
      </w:r>
      <w:r w:rsidR="00AD6389">
        <w:rPr>
          <w:rFonts w:hint="cs"/>
          <w:rtl/>
        </w:rPr>
        <w:t xml:space="preserve"> </w:t>
      </w:r>
      <w:r w:rsidR="0046466C">
        <w:rPr>
          <w:rFonts w:hint="cs"/>
          <w:rtl/>
        </w:rPr>
        <w:t xml:space="preserve">הייתה שבמסגרת ביצוע צו החיפוש החוקי שהיה בידם, השוטרים נכנסו לקרוואן הראשון שראו, ובתוכו ראו את הסמים באופן שעורר אצלם חשד גם לביצוע פשע זה מקרוב, באופן המאפשר להם לבצע חיפוש בתוכו ללא צו. על כן, גם </w:t>
      </w:r>
      <w:r w:rsidR="00FE4756">
        <w:rPr>
          <w:rFonts w:hint="cs"/>
          <w:rtl/>
        </w:rPr>
        <w:t xml:space="preserve">אם </w:t>
      </w:r>
      <w:r w:rsidR="0046466C">
        <w:rPr>
          <w:rFonts w:hint="cs"/>
          <w:rtl/>
        </w:rPr>
        <w:t xml:space="preserve">היה נקבע שנפל פגם בחוקיות הצו, ולא כך, השוטרים אשר נכנסו לקרוואן לא יכלו להתעלם מחשד </w:t>
      </w:r>
      <w:r w:rsidR="002E5EB4">
        <w:rPr>
          <w:rFonts w:hint="cs"/>
          <w:rtl/>
        </w:rPr>
        <w:t>קונקרטי לביצוע פשע לנגד עיניהם.</w:t>
      </w:r>
    </w:p>
    <w:p w:rsidR="00377BF0" w:rsidRDefault="002E5EB4" w:rsidP="00820D1F">
      <w:pPr>
        <w:pStyle w:val="Ruller41"/>
        <w:tabs>
          <w:tab w:val="clear" w:pos="907"/>
        </w:tabs>
        <w:overflowPunct/>
        <w:autoSpaceDE/>
        <w:autoSpaceDN/>
        <w:adjustRightInd/>
        <w:spacing w:after="420"/>
        <w:textAlignment w:val="auto"/>
        <w:rPr>
          <w:rtl/>
        </w:rPr>
      </w:pPr>
      <w:r>
        <w:rPr>
          <w:rtl/>
        </w:rPr>
        <w:tab/>
      </w:r>
      <w:r w:rsidR="0046466C">
        <w:rPr>
          <w:rFonts w:hint="cs"/>
          <w:rtl/>
        </w:rPr>
        <w:t>נוכח מסקנה זו, בית המשפט המחוזי</w:t>
      </w:r>
      <w:r w:rsidR="00AD6389">
        <w:rPr>
          <w:rFonts w:hint="cs"/>
          <w:rtl/>
        </w:rPr>
        <w:t xml:space="preserve"> לא נדרש</w:t>
      </w:r>
      <w:r w:rsidR="0046466C">
        <w:rPr>
          <w:rFonts w:hint="cs"/>
          <w:rtl/>
        </w:rPr>
        <w:t xml:space="preserve"> להכריע ביחס לקביעות בית משפט השלום בדבר נפקות הפגם בהליך החיפוש ולעניין הראיות הנגזרות. </w:t>
      </w:r>
      <w:r w:rsidR="00AD6389">
        <w:rPr>
          <w:rFonts w:hint="cs"/>
          <w:rtl/>
        </w:rPr>
        <w:t>בכל</w:t>
      </w:r>
      <w:r w:rsidR="0046466C">
        <w:rPr>
          <w:rFonts w:hint="cs"/>
          <w:rtl/>
        </w:rPr>
        <w:t xml:space="preserve"> זאת, </w:t>
      </w:r>
      <w:r w:rsidR="00AD6389">
        <w:rPr>
          <w:rFonts w:hint="cs"/>
          <w:rtl/>
        </w:rPr>
        <w:t>הוסיף וציין כי</w:t>
      </w:r>
      <w:r w:rsidR="0046466C">
        <w:rPr>
          <w:rFonts w:hint="cs"/>
          <w:rtl/>
        </w:rPr>
        <w:t xml:space="preserve"> בית משפט השלום לא שקל כהלכה את המחיר החברתי הכרוך בפסילת ראיית החיפוש, </w:t>
      </w:r>
      <w:r w:rsidR="00820D1F">
        <w:rPr>
          <w:rFonts w:hint="cs"/>
          <w:rtl/>
        </w:rPr>
        <w:t>כך</w:t>
      </w:r>
      <w:r w:rsidR="00FE4756">
        <w:rPr>
          <w:rFonts w:hint="cs"/>
          <w:rtl/>
        </w:rPr>
        <w:t xml:space="preserve"> </w:t>
      </w:r>
      <w:r w:rsidR="00820D1F">
        <w:rPr>
          <w:rFonts w:hint="cs"/>
          <w:rtl/>
        </w:rPr>
        <w:t>ש</w:t>
      </w:r>
      <w:r w:rsidR="00AD6389">
        <w:rPr>
          <w:rFonts w:hint="cs"/>
          <w:rtl/>
        </w:rPr>
        <w:t xml:space="preserve">ממילא </w:t>
      </w:r>
      <w:r w:rsidR="0046466C">
        <w:rPr>
          <w:rFonts w:hint="cs"/>
          <w:rtl/>
        </w:rPr>
        <w:t xml:space="preserve">לא התחייבה פסילת הראיות הנגזרות, ובוודאי שכך ביחס להודאה </w:t>
      </w:r>
      <w:proofErr w:type="spellStart"/>
      <w:r w:rsidR="0046466C">
        <w:rPr>
          <w:rFonts w:hint="cs"/>
          <w:rtl/>
        </w:rPr>
        <w:t>השניה</w:t>
      </w:r>
      <w:proofErr w:type="spellEnd"/>
      <w:r w:rsidR="00820D1F">
        <w:rPr>
          <w:rFonts w:hint="cs"/>
          <w:rtl/>
        </w:rPr>
        <w:t xml:space="preserve"> שמסר</w:t>
      </w:r>
      <w:r w:rsidR="0046466C">
        <w:rPr>
          <w:rFonts w:hint="cs"/>
          <w:rtl/>
        </w:rPr>
        <w:t>, אשר ניתנה לאחר ש</w:t>
      </w:r>
      <w:r w:rsidR="00AD6389">
        <w:rPr>
          <w:rFonts w:hint="cs"/>
          <w:rtl/>
        </w:rPr>
        <w:t xml:space="preserve">המערער </w:t>
      </w:r>
      <w:r w:rsidR="0046466C">
        <w:rPr>
          <w:rFonts w:hint="cs"/>
          <w:rtl/>
        </w:rPr>
        <w:t>כבר נועץ בעורך די</w:t>
      </w:r>
      <w:r w:rsidR="00AD6389">
        <w:rPr>
          <w:rFonts w:hint="cs"/>
          <w:rtl/>
        </w:rPr>
        <w:t xml:space="preserve">ן. </w:t>
      </w:r>
      <w:r w:rsidR="00FE4756">
        <w:rPr>
          <w:rFonts w:hint="cs"/>
          <w:rtl/>
        </w:rPr>
        <w:t>אשר</w:t>
      </w:r>
      <w:r w:rsidR="0035184D">
        <w:rPr>
          <w:rFonts w:hint="cs"/>
          <w:rtl/>
        </w:rPr>
        <w:t xml:space="preserve"> לפגם בכך שהחיפוש בוצע ללא שני עדים שאינם שוטרים, נקבע כי אין זה מוצדק לפסול בגינו את ממצאי</w:t>
      </w:r>
      <w:r w:rsidR="00AD6389">
        <w:rPr>
          <w:rFonts w:hint="cs"/>
          <w:rtl/>
        </w:rPr>
        <w:t xml:space="preserve"> החיפוש</w:t>
      </w:r>
      <w:r w:rsidR="0035184D">
        <w:rPr>
          <w:rFonts w:hint="cs"/>
          <w:rtl/>
        </w:rPr>
        <w:t xml:space="preserve"> שכן מדובר באי-חוקיות בדרגה נמוכה יחסית אשר קשה לראות כיצד פגעה </w:t>
      </w:r>
      <w:r w:rsidR="00AD6389">
        <w:rPr>
          <w:rFonts w:hint="cs"/>
          <w:rtl/>
        </w:rPr>
        <w:t>בזכויות</w:t>
      </w:r>
      <w:r w:rsidR="0035184D">
        <w:rPr>
          <w:rFonts w:hint="cs"/>
          <w:rtl/>
        </w:rPr>
        <w:t xml:space="preserve"> המערער. </w:t>
      </w:r>
      <w:r w:rsidR="00AD6389">
        <w:rPr>
          <w:rFonts w:hint="cs"/>
          <w:rtl/>
        </w:rPr>
        <w:t>מטעמים אלו, הערעור התקבל</w:t>
      </w:r>
      <w:r w:rsidR="00820D1F">
        <w:rPr>
          <w:rFonts w:hint="cs"/>
          <w:rtl/>
        </w:rPr>
        <w:t xml:space="preserve"> בעיקרו</w:t>
      </w:r>
      <w:r w:rsidR="00AD6389">
        <w:rPr>
          <w:rFonts w:hint="cs"/>
          <w:rtl/>
        </w:rPr>
        <w:t>, המערער הורשע במיוחס לו, והדיון הוחזר</w:t>
      </w:r>
      <w:r w:rsidR="003E48C2">
        <w:rPr>
          <w:rFonts w:hint="cs"/>
          <w:rtl/>
        </w:rPr>
        <w:t>, כאמור,</w:t>
      </w:r>
      <w:r w:rsidR="00AD6389">
        <w:rPr>
          <w:rFonts w:hint="cs"/>
          <w:rtl/>
        </w:rPr>
        <w:t xml:space="preserve"> לבית משפט השלום לגזירת עונשו.</w:t>
      </w:r>
    </w:p>
    <w:p w:rsidR="00377BF0" w:rsidRPr="00377BF0" w:rsidRDefault="00377BF0" w:rsidP="0035184D">
      <w:pPr>
        <w:pStyle w:val="Ruller4"/>
        <w:rPr>
          <w:rFonts w:ascii="Century" w:hAnsi="Century" w:cs="Miriam"/>
          <w:b/>
          <w:spacing w:val="0"/>
          <w:szCs w:val="24"/>
          <w:rtl/>
        </w:rPr>
      </w:pPr>
      <w:r w:rsidRPr="00377BF0">
        <w:rPr>
          <w:rFonts w:ascii="Century" w:hAnsi="Century" w:cs="Miriam" w:hint="cs"/>
          <w:b/>
          <w:spacing w:val="0"/>
          <w:szCs w:val="24"/>
          <w:rtl/>
        </w:rPr>
        <w:t xml:space="preserve">גזר הדין </w:t>
      </w:r>
      <w:r w:rsidR="009A595D">
        <w:rPr>
          <w:rFonts w:ascii="Century" w:hAnsi="Century" w:cs="Miriam" w:hint="cs"/>
          <w:b/>
          <w:spacing w:val="0"/>
          <w:szCs w:val="24"/>
          <w:rtl/>
        </w:rPr>
        <w:t xml:space="preserve">של בית משפט השלום </w:t>
      </w:r>
      <w:r w:rsidRPr="00377BF0">
        <w:rPr>
          <w:rFonts w:ascii="Century" w:hAnsi="Century" w:cs="Miriam" w:hint="cs"/>
          <w:b/>
          <w:spacing w:val="0"/>
          <w:szCs w:val="24"/>
          <w:rtl/>
        </w:rPr>
        <w:t>והערעור השני</w:t>
      </w:r>
      <w:r w:rsidR="00462435">
        <w:rPr>
          <w:rFonts w:ascii="Century" w:hAnsi="Century" w:cs="Miriam" w:hint="cs"/>
          <w:b/>
          <w:spacing w:val="0"/>
          <w:szCs w:val="24"/>
          <w:rtl/>
        </w:rPr>
        <w:t xml:space="preserve"> לבית המשפט המחוזי</w:t>
      </w:r>
    </w:p>
    <w:p w:rsidR="0035184D" w:rsidRDefault="0035184D" w:rsidP="0035184D">
      <w:pPr>
        <w:pStyle w:val="Ruller4"/>
        <w:rPr>
          <w:rtl/>
        </w:rPr>
      </w:pPr>
    </w:p>
    <w:p w:rsidR="000300AD" w:rsidRDefault="0035184D" w:rsidP="00820D1F">
      <w:pPr>
        <w:pStyle w:val="Ruller41"/>
        <w:numPr>
          <w:ilvl w:val="0"/>
          <w:numId w:val="11"/>
        </w:numPr>
        <w:overflowPunct/>
        <w:autoSpaceDE/>
        <w:autoSpaceDN/>
        <w:adjustRightInd/>
        <w:spacing w:after="420"/>
        <w:textAlignment w:val="auto"/>
      </w:pPr>
      <w:r>
        <w:rPr>
          <w:rFonts w:hint="cs"/>
          <w:rtl/>
        </w:rPr>
        <w:t xml:space="preserve">לאחר שמיעת הטיעונים לעונש, בית משפט השלום </w:t>
      </w:r>
      <w:r w:rsidR="00363AB6">
        <w:rPr>
          <w:rFonts w:hint="cs"/>
          <w:rtl/>
        </w:rPr>
        <w:t xml:space="preserve">גזר </w:t>
      </w:r>
      <w:r w:rsidR="00820D1F">
        <w:rPr>
          <w:rFonts w:hint="cs"/>
          <w:rtl/>
        </w:rPr>
        <w:t xml:space="preserve">על המערער </w:t>
      </w:r>
      <w:r>
        <w:rPr>
          <w:rFonts w:hint="cs"/>
          <w:rtl/>
        </w:rPr>
        <w:t>עונש של 4 חודשי מאסר בפועל לריצוי בדרך של עבודות שירות; 7 חודשי מאסר על תנאי, לבל יבצע עבירות סמים מסוג "פשע" למשך שנתיים; קנס כספי בסכום של 1,500 ש"ח; פסילה מנהיגה ברכב, למשך 4 חודשים</w:t>
      </w:r>
      <w:r w:rsidR="00820D1F">
        <w:rPr>
          <w:rFonts w:hint="cs"/>
          <w:rtl/>
        </w:rPr>
        <w:t>;</w:t>
      </w:r>
      <w:r>
        <w:rPr>
          <w:rFonts w:hint="cs"/>
          <w:rtl/>
        </w:rPr>
        <w:t xml:space="preserve"> ו-4 חודשי פסילה על תנאי, לבל יבצע ע</w:t>
      </w:r>
      <w:r w:rsidR="00FE4756">
        <w:rPr>
          <w:rFonts w:hint="cs"/>
          <w:rtl/>
        </w:rPr>
        <w:t xml:space="preserve">בירת סמים מסוג פשע למשך שנתיים. </w:t>
      </w:r>
      <w:r w:rsidR="0066189C">
        <w:rPr>
          <w:rFonts w:hint="cs"/>
          <w:rtl/>
        </w:rPr>
        <w:t xml:space="preserve">הפעם </w:t>
      </w:r>
      <w:r w:rsidR="003E48C2">
        <w:rPr>
          <w:rFonts w:hint="cs"/>
          <w:rtl/>
        </w:rPr>
        <w:t>ה</w:t>
      </w:r>
      <w:r w:rsidR="0066189C">
        <w:rPr>
          <w:rFonts w:hint="cs"/>
          <w:rtl/>
        </w:rPr>
        <w:t>זו הגיש המערער ערעור לבית המשפט המחוזי ביחס לחומרת עונשו</w:t>
      </w:r>
      <w:r w:rsidR="00FE4756">
        <w:rPr>
          <w:rFonts w:hint="cs"/>
          <w:rtl/>
        </w:rPr>
        <w:t xml:space="preserve"> ו</w:t>
      </w:r>
      <w:r w:rsidR="0066189C">
        <w:rPr>
          <w:rFonts w:hint="cs"/>
          <w:rtl/>
        </w:rPr>
        <w:t>ערעורו נדחה</w:t>
      </w:r>
      <w:r w:rsidR="00FE4756">
        <w:rPr>
          <w:rFonts w:hint="cs"/>
          <w:rtl/>
        </w:rPr>
        <w:t>.</w:t>
      </w:r>
      <w:r w:rsidR="0066189C">
        <w:rPr>
          <w:rFonts w:hint="cs"/>
          <w:rtl/>
        </w:rPr>
        <w:t xml:space="preserve"> </w:t>
      </w:r>
    </w:p>
    <w:p w:rsidR="00F40BD9" w:rsidRDefault="000300AD" w:rsidP="00EC5975">
      <w:pPr>
        <w:pStyle w:val="Ruller41"/>
        <w:numPr>
          <w:ilvl w:val="0"/>
          <w:numId w:val="11"/>
        </w:numPr>
        <w:overflowPunct/>
        <w:autoSpaceDE/>
        <w:autoSpaceDN/>
        <w:adjustRightInd/>
        <w:spacing w:after="420"/>
        <w:textAlignment w:val="auto"/>
        <w:rPr>
          <w:rtl/>
        </w:rPr>
      </w:pPr>
      <w:r>
        <w:rPr>
          <w:rFonts w:hint="cs"/>
          <w:rtl/>
        </w:rPr>
        <w:t xml:space="preserve">להשלמת התמונה יצוין, כי שלתיאל הודה בעובדות כתב </w:t>
      </w:r>
      <w:r w:rsidR="00FE4756">
        <w:rPr>
          <w:rFonts w:hint="cs"/>
          <w:rtl/>
        </w:rPr>
        <w:t xml:space="preserve">אישום מתוקן </w:t>
      </w:r>
      <w:r w:rsidR="00EC5975">
        <w:rPr>
          <w:rFonts w:hint="cs"/>
          <w:rtl/>
        </w:rPr>
        <w:t>במסגרת הסדר טיעון</w:t>
      </w:r>
      <w:r w:rsidR="00FE4756">
        <w:rPr>
          <w:rFonts w:hint="cs"/>
          <w:rtl/>
        </w:rPr>
        <w:t>,</w:t>
      </w:r>
      <w:r w:rsidR="00EC5975">
        <w:rPr>
          <w:rFonts w:hint="cs"/>
          <w:rtl/>
        </w:rPr>
        <w:t xml:space="preserve"> ו</w:t>
      </w:r>
      <w:r>
        <w:rPr>
          <w:rFonts w:hint="cs"/>
          <w:rtl/>
        </w:rPr>
        <w:t>נגזר</w:t>
      </w:r>
      <w:r w:rsidR="00820D1F">
        <w:rPr>
          <w:rFonts w:hint="cs"/>
          <w:rtl/>
        </w:rPr>
        <w:t>ו</w:t>
      </w:r>
      <w:r>
        <w:rPr>
          <w:rFonts w:hint="cs"/>
          <w:rtl/>
        </w:rPr>
        <w:t xml:space="preserve"> עליו עונש של </w:t>
      </w:r>
      <w:r w:rsidR="00EC5975">
        <w:rPr>
          <w:rFonts w:hint="cs"/>
          <w:rtl/>
        </w:rPr>
        <w:t>9 חודשי מאסר בפועל לריצוי בדרך של עבודות שירות וכן עונשים נלווים</w:t>
      </w:r>
      <w:r>
        <w:rPr>
          <w:rFonts w:hint="cs"/>
          <w:rtl/>
        </w:rPr>
        <w:t xml:space="preserve">. </w:t>
      </w:r>
      <w:r w:rsidR="0035184D">
        <w:rPr>
          <w:rFonts w:hint="cs"/>
          <w:rtl/>
        </w:rPr>
        <w:tab/>
      </w:r>
    </w:p>
    <w:p w:rsidR="000837EA" w:rsidRDefault="00FA2B41" w:rsidP="003E48C2">
      <w:pPr>
        <w:pStyle w:val="Ruller4"/>
        <w:rPr>
          <w:rFonts w:cs="Miriam"/>
          <w:b/>
          <w:spacing w:val="0"/>
          <w:szCs w:val="24"/>
          <w:rtl/>
        </w:rPr>
      </w:pPr>
      <w:r>
        <w:rPr>
          <w:rFonts w:cs="Miriam" w:hint="cs"/>
          <w:b/>
          <w:spacing w:val="0"/>
          <w:szCs w:val="24"/>
          <w:rtl/>
        </w:rPr>
        <w:t xml:space="preserve">עיקרי </w:t>
      </w:r>
      <w:r w:rsidR="000837EA">
        <w:rPr>
          <w:rFonts w:cs="Miriam" w:hint="cs"/>
          <w:b/>
          <w:spacing w:val="0"/>
          <w:szCs w:val="24"/>
          <w:rtl/>
        </w:rPr>
        <w:t>טענות הצדדים</w:t>
      </w:r>
      <w:r w:rsidR="0066189C">
        <w:rPr>
          <w:rFonts w:cs="Miriam" w:hint="cs"/>
          <w:b/>
          <w:spacing w:val="0"/>
          <w:szCs w:val="24"/>
          <w:rtl/>
        </w:rPr>
        <w:t xml:space="preserve"> בהליך </w:t>
      </w:r>
      <w:r w:rsidR="003E48C2">
        <w:rPr>
          <w:rFonts w:cs="Miriam" w:hint="cs"/>
          <w:b/>
          <w:spacing w:val="0"/>
          <w:szCs w:val="24"/>
          <w:rtl/>
        </w:rPr>
        <w:t>שלפנינו</w:t>
      </w:r>
    </w:p>
    <w:p w:rsidR="000837EA" w:rsidRDefault="000837EA" w:rsidP="000837EA">
      <w:pPr>
        <w:pStyle w:val="Ruller4"/>
        <w:rPr>
          <w:rFonts w:cs="Miriam"/>
          <w:b/>
          <w:spacing w:val="0"/>
          <w:szCs w:val="24"/>
          <w:rtl/>
        </w:rPr>
      </w:pPr>
    </w:p>
    <w:p w:rsidR="00A76438" w:rsidRDefault="007667B3" w:rsidP="009A595D">
      <w:pPr>
        <w:pStyle w:val="Ruller41"/>
        <w:numPr>
          <w:ilvl w:val="0"/>
          <w:numId w:val="11"/>
        </w:numPr>
        <w:overflowPunct/>
        <w:autoSpaceDE/>
        <w:autoSpaceDN/>
        <w:adjustRightInd/>
        <w:spacing w:after="420"/>
        <w:textAlignment w:val="auto"/>
        <w:rPr>
          <w:rtl/>
        </w:rPr>
      </w:pPr>
      <w:r>
        <w:rPr>
          <w:rFonts w:hint="cs"/>
          <w:rtl/>
        </w:rPr>
        <w:t>על פי הנטען</w:t>
      </w:r>
      <w:r w:rsidR="00DC3E1A">
        <w:rPr>
          <w:rFonts w:hint="cs"/>
          <w:rtl/>
        </w:rPr>
        <w:t xml:space="preserve"> בבקשת רשות הערעור</w:t>
      </w:r>
      <w:r>
        <w:rPr>
          <w:rFonts w:hint="cs"/>
          <w:rtl/>
        </w:rPr>
        <w:t xml:space="preserve">, המקרה שלפנינו מעורר שתי </w:t>
      </w:r>
      <w:r w:rsidR="009A595D">
        <w:rPr>
          <w:rFonts w:hint="cs"/>
          <w:rtl/>
        </w:rPr>
        <w:t>סוגיות</w:t>
      </w:r>
      <w:r>
        <w:rPr>
          <w:rFonts w:hint="cs"/>
          <w:rtl/>
        </w:rPr>
        <w:t xml:space="preserve"> משפטיות מובהקות החורגות מעניינו הפרטני של המערער.</w:t>
      </w:r>
      <w:r w:rsidR="00D95665">
        <w:rPr>
          <w:rFonts w:hint="cs"/>
          <w:rtl/>
        </w:rPr>
        <w:t xml:space="preserve"> הסוגיה</w:t>
      </w:r>
      <w:r>
        <w:rPr>
          <w:rFonts w:hint="cs"/>
          <w:rtl/>
        </w:rPr>
        <w:t xml:space="preserve"> </w:t>
      </w:r>
      <w:r w:rsidR="00D95665" w:rsidRPr="00D95665">
        <w:rPr>
          <w:rFonts w:ascii="Century" w:hAnsi="Century" w:cs="Miriam" w:hint="cs"/>
          <w:b/>
          <w:spacing w:val="0"/>
          <w:sz w:val="22"/>
          <w:szCs w:val="24"/>
          <w:rtl/>
        </w:rPr>
        <w:t>ה</w:t>
      </w:r>
      <w:r w:rsidRPr="00D95665">
        <w:rPr>
          <w:rFonts w:ascii="Century" w:hAnsi="Century" w:cs="Miriam" w:hint="cs"/>
          <w:b/>
          <w:spacing w:val="0"/>
          <w:sz w:val="22"/>
          <w:szCs w:val="24"/>
          <w:rtl/>
        </w:rPr>
        <w:t>ר</w:t>
      </w:r>
      <w:r w:rsidRPr="003E48C2">
        <w:rPr>
          <w:rFonts w:ascii="Century" w:hAnsi="Century" w:cs="Miriam" w:hint="cs"/>
          <w:b/>
          <w:spacing w:val="0"/>
          <w:sz w:val="22"/>
          <w:szCs w:val="24"/>
          <w:rtl/>
        </w:rPr>
        <w:t>אשונה</w:t>
      </w:r>
      <w:r>
        <w:rPr>
          <w:rFonts w:hint="cs"/>
          <w:rtl/>
        </w:rPr>
        <w:t>: מה</w:t>
      </w:r>
      <w:r w:rsidR="008D7D28">
        <w:rPr>
          <w:rFonts w:hint="cs"/>
          <w:rtl/>
        </w:rPr>
        <w:t>ו</w:t>
      </w:r>
      <w:r>
        <w:rPr>
          <w:rFonts w:hint="cs"/>
          <w:rtl/>
        </w:rPr>
        <w:t xml:space="preserve"> היקף חובת הגילוי המוטלת על המשטר</w:t>
      </w:r>
      <w:r w:rsidR="00793824">
        <w:rPr>
          <w:rFonts w:hint="cs"/>
          <w:rtl/>
        </w:rPr>
        <w:t>ה בבקשה לקבלת צו חיפוש במקרקעין</w:t>
      </w:r>
      <w:r w:rsidR="00D95665">
        <w:rPr>
          <w:rFonts w:hint="cs"/>
          <w:rtl/>
        </w:rPr>
        <w:t>,</w:t>
      </w:r>
      <w:r w:rsidR="00793824">
        <w:rPr>
          <w:rFonts w:hint="cs"/>
          <w:rtl/>
        </w:rPr>
        <w:t xml:space="preserve"> ובפרט בעת בקשה להוצאת צו חיפוש במקרקעין </w:t>
      </w:r>
      <w:r w:rsidR="009A595D">
        <w:rPr>
          <w:rFonts w:hint="cs"/>
          <w:rtl/>
        </w:rPr>
        <w:t>ש</w:t>
      </w:r>
      <w:r w:rsidR="00793824">
        <w:rPr>
          <w:rFonts w:hint="cs"/>
          <w:rtl/>
        </w:rPr>
        <w:t xml:space="preserve">אינו מציין כתובת של דירה ספציפית, אלא מפנה לתא שטח גיאוגרפי לפי </w:t>
      </w:r>
      <w:r w:rsidR="009A595D">
        <w:rPr>
          <w:rFonts w:hint="cs"/>
          <w:rtl/>
        </w:rPr>
        <w:t>תצלום אוויר</w:t>
      </w:r>
      <w:r w:rsidR="00D95665">
        <w:rPr>
          <w:rFonts w:hint="cs"/>
          <w:rtl/>
        </w:rPr>
        <w:t>? הסוגיה</w:t>
      </w:r>
      <w:r w:rsidR="00CB60E9">
        <w:rPr>
          <w:rFonts w:hint="cs"/>
          <w:rtl/>
        </w:rPr>
        <w:t xml:space="preserve"> </w:t>
      </w:r>
      <w:r w:rsidR="00D95665">
        <w:rPr>
          <w:rFonts w:ascii="Century" w:hAnsi="Century" w:cs="Miriam" w:hint="cs"/>
          <w:b/>
          <w:spacing w:val="0"/>
          <w:sz w:val="22"/>
          <w:szCs w:val="24"/>
          <w:rtl/>
        </w:rPr>
        <w:t>ה</w:t>
      </w:r>
      <w:r w:rsidR="00CB60E9" w:rsidRPr="003E48C2">
        <w:rPr>
          <w:rFonts w:ascii="Century" w:hAnsi="Century" w:cs="Miriam" w:hint="cs"/>
          <w:b/>
          <w:spacing w:val="0"/>
          <w:sz w:val="22"/>
          <w:szCs w:val="24"/>
          <w:rtl/>
        </w:rPr>
        <w:t>שנ</w:t>
      </w:r>
      <w:r w:rsidR="008D7D28" w:rsidRPr="003E48C2">
        <w:rPr>
          <w:rFonts w:ascii="Century" w:hAnsi="Century" w:cs="Miriam" w:hint="cs"/>
          <w:b/>
          <w:spacing w:val="0"/>
          <w:sz w:val="22"/>
          <w:szCs w:val="24"/>
          <w:rtl/>
        </w:rPr>
        <w:t>י</w:t>
      </w:r>
      <w:r w:rsidR="00CB60E9" w:rsidRPr="003E48C2">
        <w:rPr>
          <w:rFonts w:ascii="Century" w:hAnsi="Century" w:cs="Miriam" w:hint="cs"/>
          <w:b/>
          <w:spacing w:val="0"/>
          <w:sz w:val="22"/>
          <w:szCs w:val="24"/>
          <w:rtl/>
        </w:rPr>
        <w:t>יה</w:t>
      </w:r>
      <w:r w:rsidR="00CB60E9">
        <w:rPr>
          <w:rFonts w:hint="cs"/>
          <w:rtl/>
        </w:rPr>
        <w:t>: מה</w:t>
      </w:r>
      <w:r w:rsidR="000309FE">
        <w:rPr>
          <w:rFonts w:hint="cs"/>
          <w:rtl/>
        </w:rPr>
        <w:t>ו</w:t>
      </w:r>
      <w:r w:rsidR="00CB60E9">
        <w:rPr>
          <w:rFonts w:hint="cs"/>
          <w:rtl/>
        </w:rPr>
        <w:t xml:space="preserve"> היקף סמכות החיפוש לפי צו במצב </w:t>
      </w:r>
      <w:r w:rsidR="008D7D28">
        <w:rPr>
          <w:rFonts w:hint="cs"/>
          <w:rtl/>
        </w:rPr>
        <w:t>ש</w:t>
      </w:r>
      <w:r w:rsidR="00CB60E9">
        <w:rPr>
          <w:rFonts w:hint="cs"/>
          <w:rtl/>
        </w:rPr>
        <w:t xml:space="preserve">בו במקום החיפוש קיימים מספר בתים שונים, </w:t>
      </w:r>
      <w:r w:rsidR="00D95665">
        <w:rPr>
          <w:rFonts w:hint="cs"/>
          <w:rtl/>
        </w:rPr>
        <w:t>אשר בחלקם החשוד כלל אינו מחזיק?</w:t>
      </w:r>
    </w:p>
    <w:p w:rsidR="00DC3E1A" w:rsidRDefault="007B7798" w:rsidP="009A595D">
      <w:pPr>
        <w:pStyle w:val="Ruller41"/>
        <w:numPr>
          <w:ilvl w:val="0"/>
          <w:numId w:val="11"/>
        </w:numPr>
        <w:overflowPunct/>
        <w:autoSpaceDE/>
        <w:autoSpaceDN/>
        <w:adjustRightInd/>
        <w:spacing w:after="420"/>
        <w:textAlignment w:val="auto"/>
      </w:pPr>
      <w:r>
        <w:rPr>
          <w:rFonts w:hint="cs"/>
          <w:rtl/>
        </w:rPr>
        <w:t xml:space="preserve">המערער </w:t>
      </w:r>
      <w:r w:rsidR="00DC3E1A">
        <w:rPr>
          <w:rFonts w:hint="cs"/>
          <w:rtl/>
        </w:rPr>
        <w:t>עמד בבקשתו</w:t>
      </w:r>
      <w:r>
        <w:rPr>
          <w:rFonts w:hint="cs"/>
          <w:rtl/>
        </w:rPr>
        <w:t xml:space="preserve"> על הפגיעה בפרטיות הגלומה בביצוע חיפוש בביתו של אדם, כמו גם על הפגיעה בכבודו, בחירותו ובאוטונומיה על מרחבו האישי.</w:t>
      </w:r>
      <w:r w:rsidR="00BB26E9">
        <w:rPr>
          <w:rFonts w:hint="cs"/>
          <w:rtl/>
        </w:rPr>
        <w:t xml:space="preserve"> </w:t>
      </w:r>
      <w:r w:rsidR="00E72854">
        <w:rPr>
          <w:rFonts w:hint="cs"/>
          <w:rtl/>
        </w:rPr>
        <w:t>בנוסף, הרחיב על אופן הוצ</w:t>
      </w:r>
      <w:r w:rsidR="008D7D28">
        <w:rPr>
          <w:rFonts w:hint="cs"/>
          <w:rtl/>
        </w:rPr>
        <w:t>א</w:t>
      </w:r>
      <w:r w:rsidR="00E72854">
        <w:rPr>
          <w:rFonts w:hint="cs"/>
          <w:rtl/>
        </w:rPr>
        <w:t>תם של צווי חיפוש לפי סעיף 23 ל</w:t>
      </w:r>
      <w:r w:rsidR="00E72854">
        <w:rPr>
          <w:rtl/>
        </w:rPr>
        <w:t xml:space="preserve">פקודת סדר הדין הפלילי (מעצר וחיפוש) [נוסח חדש], </w:t>
      </w:r>
      <w:r w:rsidR="00E72854">
        <w:rPr>
          <w:rFonts w:hint="cs"/>
          <w:rtl/>
        </w:rPr>
        <w:t>ה</w:t>
      </w:r>
      <w:r w:rsidR="00E72854">
        <w:rPr>
          <w:rtl/>
        </w:rPr>
        <w:t>תשכ"ט-1969</w:t>
      </w:r>
      <w:r w:rsidR="009F20EC">
        <w:rPr>
          <w:rFonts w:hint="cs"/>
          <w:rtl/>
        </w:rPr>
        <w:t xml:space="preserve"> (להלן: </w:t>
      </w:r>
      <w:r w:rsidR="009F20EC" w:rsidRPr="009F20EC">
        <w:rPr>
          <w:rFonts w:ascii="Century" w:hAnsi="Century" w:cs="Miriam" w:hint="cs"/>
          <w:b/>
          <w:spacing w:val="0"/>
          <w:sz w:val="22"/>
          <w:szCs w:val="24"/>
          <w:rtl/>
        </w:rPr>
        <w:t>הפקודה</w:t>
      </w:r>
      <w:r w:rsidR="009F20EC">
        <w:rPr>
          <w:rFonts w:hint="cs"/>
          <w:rtl/>
        </w:rPr>
        <w:t>)</w:t>
      </w:r>
      <w:r w:rsidR="00FD5E92">
        <w:rPr>
          <w:rFonts w:hint="cs"/>
          <w:rtl/>
        </w:rPr>
        <w:t>, כאשר הדיונים בעניינם נערכים באופן שגרתי במעמד צד אחד, באופן המחייב זהירות ודקדקנות של בית המשפט</w:t>
      </w:r>
      <w:r w:rsidR="008D7D28">
        <w:rPr>
          <w:rFonts w:hint="cs"/>
          <w:rtl/>
        </w:rPr>
        <w:t xml:space="preserve"> ושל</w:t>
      </w:r>
      <w:r w:rsidR="00FD5E92">
        <w:rPr>
          <w:rFonts w:hint="cs"/>
          <w:rtl/>
        </w:rPr>
        <w:t xml:space="preserve"> נציג משטרת ישראל המופיע לפניו. זאת לצורך ביצוע איזון עדין בין זכויותיו החוקתיות של החשוד ו</w:t>
      </w:r>
      <w:r w:rsidR="003E48C2">
        <w:rPr>
          <w:rFonts w:hint="cs"/>
          <w:rtl/>
        </w:rPr>
        <w:t xml:space="preserve">זכויות </w:t>
      </w:r>
      <w:r w:rsidR="00FD5E92">
        <w:rPr>
          <w:rFonts w:hint="cs"/>
          <w:rtl/>
        </w:rPr>
        <w:t>צדדים שלישיים</w:t>
      </w:r>
      <w:r w:rsidR="008D7D28">
        <w:rPr>
          <w:rFonts w:hint="cs"/>
          <w:rtl/>
        </w:rPr>
        <w:t>,</w:t>
      </w:r>
      <w:r w:rsidR="00FD5E92">
        <w:rPr>
          <w:rFonts w:hint="cs"/>
          <w:rtl/>
        </w:rPr>
        <w:t xml:space="preserve"> </w:t>
      </w:r>
      <w:r w:rsidR="008D7D28">
        <w:rPr>
          <w:rFonts w:hint="cs"/>
          <w:rtl/>
        </w:rPr>
        <w:t>לבין</w:t>
      </w:r>
      <w:r w:rsidR="00FD5E92">
        <w:rPr>
          <w:rFonts w:hint="cs"/>
          <w:rtl/>
        </w:rPr>
        <w:t xml:space="preserve"> הצורך החקירתי הקיים על בסיס התשתית הראייתית </w:t>
      </w:r>
      <w:r w:rsidR="009A595D">
        <w:rPr>
          <w:rFonts w:hint="cs"/>
          <w:rtl/>
        </w:rPr>
        <w:t>המקימה חשד לביצוע עבירה לה טוענת המשטרה</w:t>
      </w:r>
      <w:r w:rsidR="00FD5E92">
        <w:rPr>
          <w:rFonts w:hint="cs"/>
          <w:rtl/>
        </w:rPr>
        <w:t xml:space="preserve">. </w:t>
      </w:r>
    </w:p>
    <w:p w:rsidR="00A35AAB" w:rsidRDefault="00DC3E1A" w:rsidP="003E48C2">
      <w:pPr>
        <w:pStyle w:val="Ruller41"/>
        <w:tabs>
          <w:tab w:val="clear" w:pos="907"/>
        </w:tabs>
        <w:overflowPunct/>
        <w:autoSpaceDE/>
        <w:autoSpaceDN/>
        <w:adjustRightInd/>
        <w:spacing w:after="420"/>
        <w:textAlignment w:val="auto"/>
        <w:rPr>
          <w:rtl/>
        </w:rPr>
      </w:pPr>
      <w:r>
        <w:rPr>
          <w:rtl/>
        </w:rPr>
        <w:tab/>
      </w:r>
      <w:r w:rsidR="00FD5E92">
        <w:rPr>
          <w:rFonts w:hint="cs"/>
          <w:rtl/>
        </w:rPr>
        <w:t xml:space="preserve">בהקשר זה המערער הפנה לקביעות בית משפט זה </w:t>
      </w:r>
      <w:proofErr w:type="spellStart"/>
      <w:r w:rsidR="00FD5E92">
        <w:rPr>
          <w:rFonts w:hint="cs"/>
          <w:rtl/>
        </w:rPr>
        <w:t>ב</w:t>
      </w:r>
      <w:r w:rsidR="00FD5E92" w:rsidRPr="00FD5E92">
        <w:rPr>
          <w:rtl/>
        </w:rPr>
        <w:t>דנ"פ</w:t>
      </w:r>
      <w:proofErr w:type="spellEnd"/>
      <w:r w:rsidR="00FD5E92" w:rsidRPr="00FD5E92">
        <w:rPr>
          <w:rtl/>
        </w:rPr>
        <w:t xml:space="preserve"> 1062/21 </w:t>
      </w:r>
      <w:r w:rsidR="00FD5E92" w:rsidRPr="00FD5E92">
        <w:rPr>
          <w:rFonts w:ascii="Century" w:hAnsi="Century" w:cs="Miriam"/>
          <w:b/>
          <w:spacing w:val="0"/>
          <w:sz w:val="22"/>
          <w:szCs w:val="24"/>
          <w:rtl/>
        </w:rPr>
        <w:t>אוריך נ' מדינת ישראל</w:t>
      </w:r>
      <w:r w:rsidR="00FD5E92" w:rsidRPr="00FD5E92">
        <w:rPr>
          <w:rtl/>
        </w:rPr>
        <w:t xml:space="preserve"> (11.</w:t>
      </w:r>
      <w:r w:rsidR="00FD5E92">
        <w:rPr>
          <w:rFonts w:hint="cs"/>
          <w:rtl/>
        </w:rPr>
        <w:t>1</w:t>
      </w:r>
      <w:r w:rsidR="00FD5E92" w:rsidRPr="00FD5E92">
        <w:rPr>
          <w:rtl/>
        </w:rPr>
        <w:t>.2022)</w:t>
      </w:r>
      <w:r w:rsidR="00FD5E92">
        <w:rPr>
          <w:rFonts w:hint="cs"/>
          <w:rtl/>
        </w:rPr>
        <w:t xml:space="preserve"> (להלן: </w:t>
      </w:r>
      <w:proofErr w:type="spellStart"/>
      <w:r w:rsidR="00FD5E92">
        <w:rPr>
          <w:rFonts w:hint="cs"/>
          <w:rtl/>
        </w:rPr>
        <w:t>דנ"פ</w:t>
      </w:r>
      <w:proofErr w:type="spellEnd"/>
      <w:r w:rsidR="00FD5E92">
        <w:rPr>
          <w:rFonts w:hint="cs"/>
          <w:rtl/>
        </w:rPr>
        <w:t xml:space="preserve"> </w:t>
      </w:r>
      <w:r w:rsidR="00FD5E92" w:rsidRPr="00FD5E92">
        <w:rPr>
          <w:rFonts w:ascii="Century" w:hAnsi="Century" w:cs="Miriam" w:hint="cs"/>
          <w:b/>
          <w:spacing w:val="0"/>
          <w:sz w:val="22"/>
          <w:szCs w:val="24"/>
          <w:rtl/>
        </w:rPr>
        <w:t>אוריך</w:t>
      </w:r>
      <w:r w:rsidR="00FD5E92">
        <w:rPr>
          <w:rFonts w:hint="cs"/>
          <w:rtl/>
        </w:rPr>
        <w:t>), המלמדות לשיטתו</w:t>
      </w:r>
      <w:r>
        <w:rPr>
          <w:rFonts w:hint="cs"/>
          <w:rtl/>
        </w:rPr>
        <w:t>, בין היתר,</w:t>
      </w:r>
      <w:r w:rsidR="00FD5E92">
        <w:rPr>
          <w:rFonts w:hint="cs"/>
          <w:rtl/>
        </w:rPr>
        <w:t xml:space="preserve"> על החשיבות הרבה שבית המשפט רואה בזהירות שבהוצאת צווי חיפוש ובהקפדה על </w:t>
      </w:r>
      <w:proofErr w:type="spellStart"/>
      <w:r w:rsidR="00FD5E92">
        <w:rPr>
          <w:rFonts w:hint="cs"/>
          <w:rtl/>
        </w:rPr>
        <w:t>מידתיו</w:t>
      </w:r>
      <w:r w:rsidR="003E48C2">
        <w:rPr>
          <w:rFonts w:hint="cs"/>
          <w:rtl/>
        </w:rPr>
        <w:t>תם</w:t>
      </w:r>
      <w:proofErr w:type="spellEnd"/>
      <w:r w:rsidR="00FD5E92">
        <w:rPr>
          <w:rFonts w:hint="cs"/>
          <w:rtl/>
        </w:rPr>
        <w:t xml:space="preserve">. הודגש, כי אותם העקרונות חלים, ביתר שאת, כאשר מדובר בכניסה לרשות היחיד של אדם שלא היה כל מידע לחובתו ולא הייתה כל הצדקה לפריצה לביתו. נטען </w:t>
      </w:r>
      <w:r>
        <w:rPr>
          <w:rFonts w:hint="cs"/>
          <w:rtl/>
        </w:rPr>
        <w:t xml:space="preserve">אפוא </w:t>
      </w:r>
      <w:r w:rsidR="00FD5E92">
        <w:rPr>
          <w:rFonts w:hint="cs"/>
          <w:rtl/>
        </w:rPr>
        <w:t xml:space="preserve">כי על הרשות החוקרת לברר ולהציג לבית המשפט תמונה מלאה ביחס לפגיעה הצפויה בצדדים שלישיים כתוצאה מהיעתרות לבקשת המשטרה. </w:t>
      </w:r>
    </w:p>
    <w:p w:rsidR="00A35AAB" w:rsidRDefault="00A35AAB" w:rsidP="009E1BD2">
      <w:pPr>
        <w:pStyle w:val="Ruller41"/>
        <w:numPr>
          <w:ilvl w:val="0"/>
          <w:numId w:val="11"/>
        </w:numPr>
        <w:overflowPunct/>
        <w:autoSpaceDE/>
        <w:autoSpaceDN/>
        <w:adjustRightInd/>
        <w:spacing w:after="420"/>
        <w:textAlignment w:val="auto"/>
        <w:rPr>
          <w:rtl/>
        </w:rPr>
      </w:pPr>
      <w:r>
        <w:rPr>
          <w:rFonts w:hint="cs"/>
          <w:rtl/>
        </w:rPr>
        <w:t xml:space="preserve">באופן קונקרטי בעניינו של המערער </w:t>
      </w:r>
      <w:r>
        <w:rPr>
          <w:rtl/>
        </w:rPr>
        <w:t>–</w:t>
      </w:r>
      <w:r>
        <w:rPr>
          <w:rFonts w:hint="cs"/>
          <w:rtl/>
        </w:rPr>
        <w:t xml:space="preserve"> נטען כי מחדל הרשות היה חמור, לאור הסתמכותה על </w:t>
      </w:r>
      <w:r w:rsidR="009E1BD2">
        <w:rPr>
          <w:rFonts w:hint="cs"/>
          <w:rtl/>
        </w:rPr>
        <w:t>תצלום אוויר</w:t>
      </w:r>
      <w:r>
        <w:rPr>
          <w:rFonts w:hint="cs"/>
          <w:rtl/>
        </w:rPr>
        <w:t xml:space="preserve"> ובו סימון השטח </w:t>
      </w:r>
      <w:r w:rsidR="008D7D28">
        <w:rPr>
          <w:rFonts w:hint="cs"/>
          <w:rtl/>
        </w:rPr>
        <w:t>ש</w:t>
      </w:r>
      <w:r>
        <w:rPr>
          <w:rFonts w:hint="cs"/>
          <w:rtl/>
        </w:rPr>
        <w:t xml:space="preserve">בו </w:t>
      </w:r>
      <w:r w:rsidR="009E1BD2">
        <w:rPr>
          <w:rFonts w:hint="cs"/>
          <w:rtl/>
        </w:rPr>
        <w:t>ניתן היתר</w:t>
      </w:r>
      <w:r>
        <w:rPr>
          <w:rFonts w:hint="cs"/>
          <w:rtl/>
        </w:rPr>
        <w:t xml:space="preserve"> לשוטרים לחפש </w:t>
      </w:r>
      <w:r w:rsidR="00326127">
        <w:rPr>
          <w:rFonts w:hint="cs"/>
          <w:rtl/>
        </w:rPr>
        <w:t>אצל שלתיאל. במקרה כזה, לטענת המערער, היה על המשטרה לוודא כי שלתיאל הוא המחזיק בשטח שסומן, ואם לא היה בידם להצהיר על כך במידת ודאות מספקת, נדרש היה להציג זאת לבית המשפט</w:t>
      </w:r>
      <w:r w:rsidR="00DC3E1A">
        <w:rPr>
          <w:rFonts w:hint="cs"/>
          <w:rtl/>
        </w:rPr>
        <w:t xml:space="preserve"> </w:t>
      </w:r>
      <w:r w:rsidR="00616F1D">
        <w:rPr>
          <w:rFonts w:hint="cs"/>
          <w:rtl/>
        </w:rPr>
        <w:t xml:space="preserve">כחלק מחובת </w:t>
      </w:r>
      <w:r w:rsidR="00DC3E1A">
        <w:rPr>
          <w:rFonts w:hint="cs"/>
          <w:rtl/>
        </w:rPr>
        <w:t>המשטרה</w:t>
      </w:r>
      <w:r w:rsidR="00616F1D">
        <w:rPr>
          <w:rFonts w:hint="cs"/>
          <w:rtl/>
        </w:rPr>
        <w:t xml:space="preserve"> להציג לבית המשפט את מלוא המידע הנחוץ, לרבות </w:t>
      </w:r>
      <w:r w:rsidR="008D7D28">
        <w:rPr>
          <w:rFonts w:hint="cs"/>
          <w:rtl/>
        </w:rPr>
        <w:t>"</w:t>
      </w:r>
      <w:r w:rsidR="00616F1D">
        <w:rPr>
          <w:rFonts w:hint="cs"/>
          <w:rtl/>
        </w:rPr>
        <w:t>חללים</w:t>
      </w:r>
      <w:r w:rsidR="008D7D28">
        <w:rPr>
          <w:rFonts w:hint="cs"/>
          <w:rtl/>
        </w:rPr>
        <w:t>"</w:t>
      </w:r>
      <w:r w:rsidR="00616F1D">
        <w:rPr>
          <w:rFonts w:hint="cs"/>
          <w:rtl/>
        </w:rPr>
        <w:t xml:space="preserve"> במידע. הודגש, כי במקרה זה התבקש חיפוש </w:t>
      </w:r>
      <w:proofErr w:type="spellStart"/>
      <w:r w:rsidR="00616F1D">
        <w:rPr>
          <w:rFonts w:hint="cs"/>
          <w:rtl/>
        </w:rPr>
        <w:t>ב"</w:t>
      </w:r>
      <w:r w:rsidR="00616F1D" w:rsidRPr="008D7D28">
        <w:rPr>
          <w:rFonts w:ascii="Century" w:hAnsi="Century" w:cs="Miriam" w:hint="cs"/>
          <w:b/>
          <w:spacing w:val="0"/>
          <w:sz w:val="22"/>
          <w:szCs w:val="24"/>
          <w:rtl/>
        </w:rPr>
        <w:t>יח</w:t>
      </w:r>
      <w:proofErr w:type="spellEnd"/>
      <w:r w:rsidR="00616F1D" w:rsidRPr="008D7D28">
        <w:rPr>
          <w:rFonts w:ascii="Century" w:hAnsi="Century" w:cs="Miriam" w:hint="cs"/>
          <w:b/>
          <w:spacing w:val="0"/>
          <w:sz w:val="22"/>
          <w:szCs w:val="24"/>
          <w:rtl/>
        </w:rPr>
        <w:t>'</w:t>
      </w:r>
      <w:r w:rsidR="00616F1D">
        <w:rPr>
          <w:rFonts w:hint="cs"/>
          <w:rtl/>
        </w:rPr>
        <w:t xml:space="preserve">" דיור ומחסנים, מבלי לפרט כי קיימות מספר יחידות דיור ולא אחת בלבד; וכן כי כעולה מעדות השוטרים, היה ידוע להם כי יש מספר קרוואנים </w:t>
      </w:r>
      <w:r w:rsidR="009E1BD2">
        <w:rPr>
          <w:rFonts w:hint="cs"/>
          <w:rtl/>
        </w:rPr>
        <w:t>ב</w:t>
      </w:r>
      <w:r w:rsidR="00616F1D">
        <w:rPr>
          <w:rFonts w:hint="cs"/>
          <w:rtl/>
        </w:rPr>
        <w:t xml:space="preserve">מתחם, אולם הדבר "לא עניין אותם". המערער </w:t>
      </w:r>
      <w:r w:rsidR="00DC3E1A">
        <w:rPr>
          <w:rFonts w:hint="cs"/>
          <w:rtl/>
        </w:rPr>
        <w:t>הוסיף וט</w:t>
      </w:r>
      <w:r w:rsidR="00616F1D">
        <w:rPr>
          <w:rFonts w:hint="cs"/>
          <w:rtl/>
        </w:rPr>
        <w:t xml:space="preserve">ען בדבר היקף הפרטים שראוי לציין במקרים שבהם המשטרה מבקשת להסתמך על </w:t>
      </w:r>
      <w:r w:rsidR="009E1BD2">
        <w:rPr>
          <w:rFonts w:hint="cs"/>
          <w:rtl/>
        </w:rPr>
        <w:t>תצלום אוויר</w:t>
      </w:r>
      <w:r w:rsidR="00616F1D">
        <w:rPr>
          <w:rFonts w:hint="cs"/>
          <w:rtl/>
        </w:rPr>
        <w:t xml:space="preserve"> לצורך קבלת צו חיפוש. </w:t>
      </w:r>
    </w:p>
    <w:p w:rsidR="006B5920" w:rsidRDefault="00DC3E1A" w:rsidP="000309FE">
      <w:pPr>
        <w:pStyle w:val="Ruller41"/>
        <w:numPr>
          <w:ilvl w:val="0"/>
          <w:numId w:val="11"/>
        </w:numPr>
        <w:overflowPunct/>
        <w:autoSpaceDE/>
        <w:autoSpaceDN/>
        <w:adjustRightInd/>
        <w:spacing w:after="420"/>
        <w:textAlignment w:val="auto"/>
        <w:rPr>
          <w:rtl/>
        </w:rPr>
      </w:pPr>
      <w:r>
        <w:rPr>
          <w:rFonts w:hint="cs"/>
          <w:rtl/>
        </w:rPr>
        <w:t>בנוסף,</w:t>
      </w:r>
      <w:r w:rsidR="006B5920">
        <w:rPr>
          <w:rFonts w:hint="cs"/>
          <w:rtl/>
        </w:rPr>
        <w:t xml:space="preserve"> הועלתה טענה </w:t>
      </w:r>
      <w:r>
        <w:rPr>
          <w:rFonts w:hint="cs"/>
          <w:rtl/>
        </w:rPr>
        <w:t>לעניין</w:t>
      </w:r>
      <w:r w:rsidR="006B5920">
        <w:rPr>
          <w:rFonts w:hint="cs"/>
          <w:rtl/>
        </w:rPr>
        <w:t xml:space="preserve"> היקף סמכות השוטרים בעת מימוש צו החיפוש </w:t>
      </w:r>
      <w:r w:rsidR="006B5920">
        <w:rPr>
          <w:rtl/>
        </w:rPr>
        <w:t>–</w:t>
      </w:r>
      <w:r w:rsidR="006B5920">
        <w:rPr>
          <w:rFonts w:hint="cs"/>
          <w:rtl/>
        </w:rPr>
        <w:t xml:space="preserve"> האם החיפוש מוגבל למושא הצו, או שהשוטרים רשאים לחפש בכל תא השטח אשר נכתב בצו החיפוש, בין אם הוא מוחזק על ידי החשוד ובין אם לא</w:t>
      </w:r>
      <w:r w:rsidR="00462435">
        <w:rPr>
          <w:rFonts w:hint="cs"/>
          <w:rtl/>
        </w:rPr>
        <w:t>ו</w:t>
      </w:r>
      <w:r w:rsidR="006B5920">
        <w:rPr>
          <w:rFonts w:hint="cs"/>
          <w:rtl/>
        </w:rPr>
        <w:t xml:space="preserve">. על פי הנטען, השופטת </w:t>
      </w:r>
      <w:r w:rsidR="006B5920" w:rsidRPr="00DC3E1A">
        <w:rPr>
          <w:rFonts w:ascii="Century" w:hAnsi="Century" w:cs="Miriam" w:hint="cs"/>
          <w:b/>
          <w:spacing w:val="0"/>
          <w:sz w:val="22"/>
          <w:szCs w:val="24"/>
          <w:rtl/>
        </w:rPr>
        <w:t>דיבון סגל</w:t>
      </w:r>
      <w:r w:rsidR="006B5920" w:rsidRPr="00DC3E1A">
        <w:rPr>
          <w:rFonts w:hint="cs"/>
          <w:rtl/>
        </w:rPr>
        <w:t xml:space="preserve"> </w:t>
      </w:r>
      <w:r w:rsidR="006B5920">
        <w:rPr>
          <w:rFonts w:hint="cs"/>
          <w:rtl/>
        </w:rPr>
        <w:t xml:space="preserve">לא נתנה למשטרה </w:t>
      </w:r>
      <w:r w:rsidR="00462435">
        <w:rPr>
          <w:rFonts w:hint="cs"/>
          <w:rtl/>
        </w:rPr>
        <w:t>"</w:t>
      </w:r>
      <w:r w:rsidR="006B5920">
        <w:rPr>
          <w:rFonts w:hint="cs"/>
          <w:rtl/>
        </w:rPr>
        <w:t>יד חופשית</w:t>
      </w:r>
      <w:r w:rsidR="00462435">
        <w:rPr>
          <w:rFonts w:hint="cs"/>
          <w:rtl/>
        </w:rPr>
        <w:t>"</w:t>
      </w:r>
      <w:r w:rsidR="006B5920">
        <w:rPr>
          <w:rFonts w:hint="cs"/>
          <w:rtl/>
        </w:rPr>
        <w:t xml:space="preserve"> לחפש בכל תא השטח שסומן </w:t>
      </w:r>
      <w:r w:rsidR="00C37A10">
        <w:rPr>
          <w:rFonts w:hint="cs"/>
          <w:rtl/>
        </w:rPr>
        <w:t>בתצלום האוויר</w:t>
      </w:r>
      <w:r w:rsidR="006B5920">
        <w:rPr>
          <w:rFonts w:hint="cs"/>
          <w:rtl/>
        </w:rPr>
        <w:t>, אלא רק אצל שלתיאל</w:t>
      </w:r>
      <w:r w:rsidR="00D95665">
        <w:rPr>
          <w:rFonts w:hint="cs"/>
          <w:rtl/>
        </w:rPr>
        <w:t>,</w:t>
      </w:r>
      <w:r w:rsidR="006B5920">
        <w:rPr>
          <w:rFonts w:hint="cs"/>
          <w:rtl/>
        </w:rPr>
        <w:t xml:space="preserve"> אשר בעניינו התגבשה תשתית ראייתית. </w:t>
      </w:r>
      <w:r w:rsidR="002225A2">
        <w:rPr>
          <w:rFonts w:hint="cs"/>
          <w:rtl/>
        </w:rPr>
        <w:t>כלומר, כאשר מצוין בצו החיפוש כי עליו להיעשות אצל מחזיק ספציפי, על השו</w:t>
      </w:r>
      <w:r w:rsidR="008D7D28">
        <w:rPr>
          <w:rFonts w:hint="cs"/>
          <w:rtl/>
        </w:rPr>
        <w:t>טרים לחפש רק במקום המוחזק על יד</w:t>
      </w:r>
      <w:r w:rsidR="002225A2">
        <w:rPr>
          <w:rFonts w:hint="cs"/>
          <w:rtl/>
        </w:rPr>
        <w:t xml:space="preserve">ו, ולא במקומות המוחזקים על ידי אנשים בלתי מעורבים, גם אם מבחינה טכנית נכללים בצו מקומות שכאלו. </w:t>
      </w:r>
      <w:r w:rsidR="00FE4756">
        <w:rPr>
          <w:rFonts w:hint="cs"/>
          <w:rtl/>
        </w:rPr>
        <w:t>עוד</w:t>
      </w:r>
      <w:r w:rsidR="002225A2">
        <w:rPr>
          <w:rFonts w:hint="cs"/>
          <w:rtl/>
        </w:rPr>
        <w:t xml:space="preserve"> נטען </w:t>
      </w:r>
      <w:r>
        <w:rPr>
          <w:rFonts w:hint="cs"/>
          <w:rtl/>
        </w:rPr>
        <w:t>ש</w:t>
      </w:r>
      <w:r w:rsidR="002225A2">
        <w:rPr>
          <w:rFonts w:hint="cs"/>
          <w:rtl/>
        </w:rPr>
        <w:t>כאשר מתקבל מידע חד</w:t>
      </w:r>
      <w:r>
        <w:rPr>
          <w:rFonts w:hint="cs"/>
          <w:rtl/>
        </w:rPr>
        <w:t xml:space="preserve">ש ביחס למקום החיפוש עם הגעת המשטרה לשטח, עליה </w:t>
      </w:r>
      <w:r w:rsidR="002225A2">
        <w:rPr>
          <w:rFonts w:hint="cs"/>
          <w:rtl/>
        </w:rPr>
        <w:t xml:space="preserve">לשוב לבית המשפט ולבקש כי ישקול בשנית את הבקשה לאחר שיוצג לו המידע </w:t>
      </w:r>
      <w:r w:rsidR="000309FE">
        <w:rPr>
          <w:rFonts w:hint="cs"/>
          <w:rtl/>
        </w:rPr>
        <w:t xml:space="preserve">הרלוונטי. זאת, בדומה </w:t>
      </w:r>
      <w:r>
        <w:rPr>
          <w:rFonts w:hint="cs"/>
          <w:rtl/>
        </w:rPr>
        <w:t>לנהלי המשט</w:t>
      </w:r>
      <w:r w:rsidR="002225A2">
        <w:rPr>
          <w:rFonts w:hint="cs"/>
          <w:rtl/>
        </w:rPr>
        <w:t xml:space="preserve">רה ביחס לחיפוש אצל עורך דין שבו </w:t>
      </w:r>
      <w:r w:rsidR="009E1BD2">
        <w:rPr>
          <w:rFonts w:hint="cs"/>
          <w:rtl/>
        </w:rPr>
        <w:t>נחשפים</w:t>
      </w:r>
      <w:r w:rsidR="002225A2">
        <w:rPr>
          <w:rFonts w:hint="cs"/>
          <w:rtl/>
        </w:rPr>
        <w:t xml:space="preserve"> השוטרים </w:t>
      </w:r>
      <w:r w:rsidR="009E1BD2">
        <w:rPr>
          <w:rFonts w:hint="cs"/>
          <w:rtl/>
        </w:rPr>
        <w:t>ל</w:t>
      </w:r>
      <w:r w:rsidR="002225A2">
        <w:rPr>
          <w:rFonts w:hint="cs"/>
          <w:rtl/>
        </w:rPr>
        <w:t>חומר</w:t>
      </w:r>
      <w:r w:rsidR="009E1BD2">
        <w:rPr>
          <w:rFonts w:hint="cs"/>
          <w:rtl/>
        </w:rPr>
        <w:t>ים</w:t>
      </w:r>
      <w:r w:rsidR="002225A2">
        <w:rPr>
          <w:rFonts w:hint="cs"/>
          <w:rtl/>
        </w:rPr>
        <w:t xml:space="preserve"> אשר ייתכן שחל </w:t>
      </w:r>
      <w:r w:rsidR="009E1BD2">
        <w:rPr>
          <w:rFonts w:hint="cs"/>
          <w:rtl/>
        </w:rPr>
        <w:t>עליהם</w:t>
      </w:r>
      <w:r w:rsidR="002225A2">
        <w:rPr>
          <w:rFonts w:hint="cs"/>
          <w:rtl/>
        </w:rPr>
        <w:t xml:space="preserve"> חיסיון. </w:t>
      </w:r>
    </w:p>
    <w:p w:rsidR="002225A2" w:rsidRDefault="00DC3E1A" w:rsidP="000536AA">
      <w:pPr>
        <w:pStyle w:val="Ruller41"/>
        <w:numPr>
          <w:ilvl w:val="0"/>
          <w:numId w:val="11"/>
        </w:numPr>
        <w:overflowPunct/>
        <w:autoSpaceDE/>
        <w:autoSpaceDN/>
        <w:adjustRightInd/>
        <w:spacing w:after="420"/>
        <w:textAlignment w:val="auto"/>
        <w:rPr>
          <w:rtl/>
        </w:rPr>
      </w:pPr>
      <w:r>
        <w:rPr>
          <w:rFonts w:hint="cs"/>
          <w:rtl/>
        </w:rPr>
        <w:t>המערער שב וט</w:t>
      </w:r>
      <w:r w:rsidR="002225A2">
        <w:rPr>
          <w:rFonts w:hint="cs"/>
          <w:rtl/>
        </w:rPr>
        <w:t xml:space="preserve">ען כי בהתאם לדברי בא-כוח </w:t>
      </w:r>
      <w:r w:rsidR="008D7D28">
        <w:rPr>
          <w:rFonts w:hint="cs"/>
          <w:rtl/>
        </w:rPr>
        <w:t>המשיבה</w:t>
      </w:r>
      <w:r w:rsidR="002225A2">
        <w:rPr>
          <w:rFonts w:hint="cs"/>
          <w:rtl/>
        </w:rPr>
        <w:t xml:space="preserve"> בסיכומיו לפני בית משפט השלום, </w:t>
      </w:r>
      <w:r w:rsidR="008D7D28">
        <w:rPr>
          <w:rFonts w:hint="cs"/>
          <w:rtl/>
        </w:rPr>
        <w:t>המשיבה</w:t>
      </w:r>
      <w:r w:rsidR="002225A2">
        <w:rPr>
          <w:rFonts w:hint="cs"/>
          <w:rtl/>
        </w:rPr>
        <w:t xml:space="preserve"> התמקדה בחוקיות הצו והסכימה כי היא לא </w:t>
      </w:r>
      <w:r w:rsidR="009E1BD2">
        <w:rPr>
          <w:rFonts w:hint="cs"/>
          <w:rtl/>
        </w:rPr>
        <w:t>תסתמך</w:t>
      </w:r>
      <w:r w:rsidR="002225A2">
        <w:rPr>
          <w:rFonts w:hint="cs"/>
          <w:rtl/>
        </w:rPr>
        <w:t xml:space="preserve"> על חשד סביר שהתגבש עובר לכניסת השוטרים לקרוואן. מעבר לכך, נטען כי בכל מקרה סמכו</w:t>
      </w:r>
      <w:r w:rsidR="00AC5DCB">
        <w:rPr>
          <w:rFonts w:hint="cs"/>
          <w:rtl/>
        </w:rPr>
        <w:t>יו</w:t>
      </w:r>
      <w:r w:rsidR="002225A2">
        <w:rPr>
          <w:rFonts w:hint="cs"/>
          <w:rtl/>
        </w:rPr>
        <w:t xml:space="preserve">ת הכניסה והחיפוש </w:t>
      </w:r>
      <w:r w:rsidR="00462435">
        <w:rPr>
          <w:rFonts w:hint="cs"/>
          <w:rtl/>
        </w:rPr>
        <w:t>מותנ</w:t>
      </w:r>
      <w:r w:rsidR="00AC5DCB">
        <w:rPr>
          <w:rFonts w:hint="cs"/>
          <w:rtl/>
        </w:rPr>
        <w:t>ו</w:t>
      </w:r>
      <w:r w:rsidR="000536AA">
        <w:rPr>
          <w:rFonts w:hint="cs"/>
          <w:rtl/>
        </w:rPr>
        <w:t>ת</w:t>
      </w:r>
      <w:r w:rsidR="002225A2">
        <w:rPr>
          <w:rFonts w:hint="cs"/>
          <w:rtl/>
        </w:rPr>
        <w:t xml:space="preserve"> בכך שקיים יסוד סביר להניח כי במקום הרלוונטי מבוצע פשע או שפשע בו</w:t>
      </w:r>
      <w:r w:rsidR="008D7D28">
        <w:rPr>
          <w:rFonts w:hint="cs"/>
          <w:rtl/>
        </w:rPr>
        <w:t>צע שם</w:t>
      </w:r>
      <w:r w:rsidR="002225A2">
        <w:rPr>
          <w:rFonts w:hint="cs"/>
          <w:rtl/>
        </w:rPr>
        <w:t xml:space="preserve"> זה מקרוב, ולכן חשד שהתעורר רק לאחר הכניסה למקום אינו מספק. כמו כן, נטען כי בית המשפט המחוזי יישם באופן שגוי את דוקטרינת הפסילה הפסיקתית, כאשר נתן משקל משמעותי לחומרת העבירה ובין היתר בשים לב לכך </w:t>
      </w:r>
      <w:r w:rsidR="008D7D28">
        <w:rPr>
          <w:rFonts w:hint="cs"/>
          <w:rtl/>
        </w:rPr>
        <w:t>שהמשיבה</w:t>
      </w:r>
      <w:r w:rsidR="002225A2">
        <w:rPr>
          <w:rFonts w:hint="cs"/>
          <w:rtl/>
        </w:rPr>
        <w:t xml:space="preserve"> עצמה עתרה להשית על המערער עונש מאסר בפועל שניתן לרצות בעבודות שירות</w:t>
      </w:r>
      <w:r w:rsidR="00FE4756">
        <w:rPr>
          <w:rFonts w:hint="cs"/>
          <w:rtl/>
        </w:rPr>
        <w:t>,</w:t>
      </w:r>
      <w:r w:rsidR="002225A2">
        <w:rPr>
          <w:rFonts w:hint="cs"/>
          <w:rtl/>
        </w:rPr>
        <w:t xml:space="preserve"> ו</w:t>
      </w:r>
      <w:r w:rsidR="00FE4756">
        <w:rPr>
          <w:rFonts w:hint="cs"/>
          <w:rtl/>
        </w:rPr>
        <w:t xml:space="preserve">כן </w:t>
      </w:r>
      <w:r w:rsidR="002225A2">
        <w:rPr>
          <w:rFonts w:hint="cs"/>
          <w:rtl/>
        </w:rPr>
        <w:t xml:space="preserve">לעונש </w:t>
      </w:r>
      <w:r w:rsidR="009E1BD2">
        <w:rPr>
          <w:rFonts w:hint="cs"/>
          <w:rtl/>
        </w:rPr>
        <w:t xml:space="preserve">אשר בסופו של יום </w:t>
      </w:r>
      <w:r w:rsidR="002225A2">
        <w:rPr>
          <w:rFonts w:hint="cs"/>
          <w:rtl/>
        </w:rPr>
        <w:t xml:space="preserve">נגזר עליו </w:t>
      </w:r>
      <w:r w:rsidR="002225A2">
        <w:rPr>
          <w:rtl/>
        </w:rPr>
        <w:t>–</w:t>
      </w:r>
      <w:r w:rsidR="002225A2">
        <w:rPr>
          <w:rFonts w:hint="cs"/>
          <w:rtl/>
        </w:rPr>
        <w:t xml:space="preserve"> 4 חודשי מאסר בפועל לריצוי בעבודות שירות</w:t>
      </w:r>
      <w:r w:rsidR="008D7D28">
        <w:rPr>
          <w:rFonts w:hint="cs"/>
          <w:rtl/>
        </w:rPr>
        <w:t>, המלמד על כך שאין מדובר בעבירה חמורה במיוחד</w:t>
      </w:r>
      <w:r w:rsidR="002225A2">
        <w:rPr>
          <w:rFonts w:hint="cs"/>
          <w:rtl/>
        </w:rPr>
        <w:t xml:space="preserve">. </w:t>
      </w:r>
    </w:p>
    <w:p w:rsidR="002225A2" w:rsidRDefault="00DC3E1A" w:rsidP="00C37A10">
      <w:pPr>
        <w:pStyle w:val="Ruller41"/>
        <w:numPr>
          <w:ilvl w:val="0"/>
          <w:numId w:val="11"/>
        </w:numPr>
        <w:overflowPunct/>
        <w:autoSpaceDE/>
        <w:autoSpaceDN/>
        <w:adjustRightInd/>
        <w:spacing w:after="420"/>
        <w:textAlignment w:val="auto"/>
        <w:rPr>
          <w:rtl/>
        </w:rPr>
      </w:pPr>
      <w:r>
        <w:rPr>
          <w:rFonts w:hint="cs"/>
          <w:rtl/>
        </w:rPr>
        <w:t>המשיבה</w:t>
      </w:r>
      <w:r w:rsidR="002225A2">
        <w:rPr>
          <w:rFonts w:hint="cs"/>
          <w:rtl/>
        </w:rPr>
        <w:t xml:space="preserve">, מצידה, סבורה כי לא נפל פגם בהליך הוצאת צו החיפוש. נטען כי המשטרה מסרה לבית משפט השלום את כל המידע שהיה ברשותה, בהתחשב בכך שלא ידעה את מקום המגורים המדויק של שלתיאל. צו החיפוש </w:t>
      </w:r>
      <w:r>
        <w:rPr>
          <w:rFonts w:hint="cs"/>
          <w:rtl/>
        </w:rPr>
        <w:t>ניתן</w:t>
      </w:r>
      <w:r w:rsidR="002225A2">
        <w:rPr>
          <w:rFonts w:hint="cs"/>
          <w:rtl/>
        </w:rPr>
        <w:t xml:space="preserve"> לפי </w:t>
      </w:r>
      <w:r w:rsidR="00C37A10">
        <w:rPr>
          <w:rFonts w:hint="cs"/>
          <w:rtl/>
        </w:rPr>
        <w:t>תצלום אוויר</w:t>
      </w:r>
      <w:r w:rsidR="002225A2">
        <w:rPr>
          <w:rFonts w:hint="cs"/>
          <w:rtl/>
        </w:rPr>
        <w:t xml:space="preserve"> </w:t>
      </w:r>
      <w:r>
        <w:rPr>
          <w:rFonts w:hint="cs"/>
          <w:rtl/>
        </w:rPr>
        <w:t>שבו</w:t>
      </w:r>
      <w:r w:rsidR="002225A2">
        <w:rPr>
          <w:rFonts w:hint="cs"/>
          <w:rtl/>
        </w:rPr>
        <w:t xml:space="preserve"> מסומן המבנה המרכזי בשטח. נומק, כי בית משפט השלום ידע כי </w:t>
      </w:r>
      <w:r w:rsidR="008D7D28">
        <w:rPr>
          <w:rFonts w:hint="cs"/>
          <w:rtl/>
        </w:rPr>
        <w:t>שלתיאל</w:t>
      </w:r>
      <w:r w:rsidR="002225A2">
        <w:rPr>
          <w:rFonts w:hint="cs"/>
          <w:rtl/>
        </w:rPr>
        <w:t xml:space="preserve"> מתגורר בקרוואן אשר לא ניתן לראותו </w:t>
      </w:r>
      <w:r w:rsidR="00C37A10">
        <w:rPr>
          <w:rFonts w:hint="cs"/>
          <w:rtl/>
        </w:rPr>
        <w:t>בתצלום האוויר</w:t>
      </w:r>
      <w:r w:rsidR="002225A2">
        <w:rPr>
          <w:rFonts w:hint="cs"/>
          <w:rtl/>
        </w:rPr>
        <w:t xml:space="preserve"> ובכל זאת לא מצא</w:t>
      </w:r>
      <w:r w:rsidR="008D7D28">
        <w:rPr>
          <w:rFonts w:hint="cs"/>
          <w:rtl/>
        </w:rPr>
        <w:t xml:space="preserve"> להגביל את צו החיפוש לקרוואן שלו בלבד </w:t>
      </w:r>
      <w:r w:rsidR="00911AA2">
        <w:rPr>
          <w:rFonts w:hint="cs"/>
          <w:rtl/>
        </w:rPr>
        <w:t>"</w:t>
      </w:r>
      <w:r w:rsidR="00911AA2" w:rsidRPr="007C007F">
        <w:rPr>
          <w:rFonts w:ascii="Century" w:hAnsi="Century" w:cs="Miriam" w:hint="cs"/>
          <w:b/>
          <w:spacing w:val="0"/>
          <w:sz w:val="22"/>
          <w:szCs w:val="24"/>
          <w:rtl/>
        </w:rPr>
        <w:t xml:space="preserve">אלא נעתר לבקשת המשטרה לחפש בכל השטח המסומן </w:t>
      </w:r>
      <w:r w:rsidR="007C007F" w:rsidRPr="007C007F">
        <w:rPr>
          <w:rFonts w:ascii="Century" w:hAnsi="Century" w:cs="Miriam" w:hint="cs"/>
          <w:b/>
          <w:spacing w:val="0"/>
          <w:sz w:val="22"/>
          <w:szCs w:val="24"/>
          <w:rtl/>
        </w:rPr>
        <w:t>בתצלום האווירי וגם במחסנים</w:t>
      </w:r>
      <w:r w:rsidR="007C007F">
        <w:rPr>
          <w:rFonts w:hint="cs"/>
          <w:rtl/>
        </w:rPr>
        <w:t>"</w:t>
      </w:r>
      <w:r w:rsidR="008D7D28">
        <w:rPr>
          <w:rFonts w:hint="cs"/>
          <w:rtl/>
        </w:rPr>
        <w:t>.</w:t>
      </w:r>
    </w:p>
    <w:p w:rsidR="007C007F" w:rsidRPr="007C007F" w:rsidRDefault="007C007F" w:rsidP="00C37A10">
      <w:pPr>
        <w:pStyle w:val="Ruller4"/>
        <w:rPr>
          <w:rtl/>
        </w:rPr>
      </w:pPr>
      <w:r>
        <w:rPr>
          <w:rtl/>
        </w:rPr>
        <w:tab/>
      </w:r>
      <w:r>
        <w:rPr>
          <w:rFonts w:hint="cs"/>
          <w:rtl/>
        </w:rPr>
        <w:t xml:space="preserve">מלבד זאת, </w:t>
      </w:r>
      <w:r w:rsidR="00DC3E1A">
        <w:rPr>
          <w:rFonts w:hint="cs"/>
          <w:rtl/>
        </w:rPr>
        <w:t>המשיבה</w:t>
      </w:r>
      <w:r>
        <w:rPr>
          <w:rFonts w:hint="cs"/>
          <w:rtl/>
        </w:rPr>
        <w:t xml:space="preserve"> מבקשת </w:t>
      </w:r>
      <w:r w:rsidR="00DC3E1A">
        <w:rPr>
          <w:rFonts w:hint="cs"/>
          <w:rtl/>
        </w:rPr>
        <w:t>להבחין</w:t>
      </w:r>
      <w:r>
        <w:rPr>
          <w:rFonts w:hint="cs"/>
          <w:rtl/>
        </w:rPr>
        <w:t xml:space="preserve"> בין שלב הכניסה לקרוואן בו מתגורר המערער לשלב החיפוש. לשיטתה, הכניסה לקרוואן נעשתה כדין בהינתן שהשוטרים לא ידעו מהי הכתובת המדויק</w:t>
      </w:r>
      <w:r w:rsidR="008D7D28">
        <w:rPr>
          <w:rFonts w:hint="cs"/>
          <w:rtl/>
        </w:rPr>
        <w:t>ת</w:t>
      </w:r>
      <w:r w:rsidR="00462435">
        <w:rPr>
          <w:rFonts w:hint="cs"/>
          <w:rtl/>
        </w:rPr>
        <w:t xml:space="preserve"> של שלתיאל, ואילו לאחר </w:t>
      </w:r>
      <w:r>
        <w:rPr>
          <w:rFonts w:hint="cs"/>
          <w:rtl/>
        </w:rPr>
        <w:t>שנכנסו לקרוואן החיפוש נעשה מכוח סעיף 25(א) ל</w:t>
      </w:r>
      <w:r w:rsidR="00DC3E1A">
        <w:rPr>
          <w:rFonts w:hint="cs"/>
          <w:rtl/>
        </w:rPr>
        <w:t xml:space="preserve">פקודה </w:t>
      </w:r>
      <w:r w:rsidR="00462435">
        <w:rPr>
          <w:rFonts w:hint="cs"/>
          <w:rtl/>
        </w:rPr>
        <w:t>מאחר</w:t>
      </w:r>
      <w:r w:rsidR="00DC3E1A">
        <w:rPr>
          <w:rFonts w:hint="cs"/>
          <w:rtl/>
        </w:rPr>
        <w:t xml:space="preserve"> שהשוטרים </w:t>
      </w:r>
      <w:r w:rsidR="00462435">
        <w:rPr>
          <w:rFonts w:hint="cs"/>
          <w:rtl/>
        </w:rPr>
        <w:t>הבחינו</w:t>
      </w:r>
      <w:r>
        <w:rPr>
          <w:rFonts w:hint="cs"/>
          <w:rtl/>
        </w:rPr>
        <w:t xml:space="preserve"> כי במקום מתרחשת עבירה מסוג פשע. </w:t>
      </w:r>
      <w:r w:rsidR="00DC3E1A">
        <w:rPr>
          <w:rFonts w:hint="cs"/>
          <w:rtl/>
        </w:rPr>
        <w:t>בנוסף לכך, הועלתה טענה כי</w:t>
      </w:r>
      <w:r>
        <w:rPr>
          <w:rFonts w:hint="cs"/>
          <w:rtl/>
        </w:rPr>
        <w:t xml:space="preserve"> בית משפט השלום שקלל, בעת מתן צו החיפוש, את הפגיעה האפשרית בצדדים שלישיים, והחליט לתת את הצו לפי </w:t>
      </w:r>
      <w:r w:rsidR="00C37A10">
        <w:rPr>
          <w:rFonts w:hint="cs"/>
          <w:rtl/>
        </w:rPr>
        <w:t>תצלום האוויר</w:t>
      </w:r>
      <w:r>
        <w:rPr>
          <w:rFonts w:hint="cs"/>
          <w:rtl/>
        </w:rPr>
        <w:t xml:space="preserve"> ביודעו כי ישנם מחזיקים נוספים. זאת, מבלי לדרוש מהמשטרה בדיקות נוספות ומבלי שסבר כי הצו בלתי מידתי. בהקשר זה הועלתה דוגמ</w:t>
      </w:r>
      <w:r w:rsidR="008D7D28">
        <w:rPr>
          <w:rFonts w:hint="cs"/>
          <w:rtl/>
        </w:rPr>
        <w:t>ה</w:t>
      </w:r>
      <w:r>
        <w:rPr>
          <w:rFonts w:hint="cs"/>
          <w:rtl/>
        </w:rPr>
        <w:t xml:space="preserve"> למצב שבו קיים חשד להחזקת נשקים על-ידי חשו</w:t>
      </w:r>
      <w:r w:rsidR="00DC3E1A">
        <w:rPr>
          <w:rFonts w:hint="cs"/>
          <w:rtl/>
        </w:rPr>
        <w:t>ד</w:t>
      </w:r>
      <w:r>
        <w:rPr>
          <w:rFonts w:hint="cs"/>
          <w:rtl/>
        </w:rPr>
        <w:t xml:space="preserve"> מסוים במתחם מאהלים משותפים ללא כתובת, באופן שיחייב חיפוש בשטח אשר יסומן על גבי </w:t>
      </w:r>
      <w:r w:rsidR="00C37A10">
        <w:rPr>
          <w:rFonts w:hint="cs"/>
          <w:rtl/>
        </w:rPr>
        <w:t>תצלום אוויר</w:t>
      </w:r>
      <w:r>
        <w:rPr>
          <w:rFonts w:hint="cs"/>
          <w:rtl/>
        </w:rPr>
        <w:t xml:space="preserve">. </w:t>
      </w:r>
    </w:p>
    <w:p w:rsidR="00D56EA4" w:rsidRDefault="00D56EA4" w:rsidP="00D56EA4">
      <w:pPr>
        <w:pStyle w:val="Ruller4"/>
        <w:rPr>
          <w:rtl/>
        </w:rPr>
      </w:pPr>
    </w:p>
    <w:p w:rsidR="007C007F" w:rsidRDefault="007C007F" w:rsidP="008D7D28">
      <w:pPr>
        <w:pStyle w:val="Ruller4"/>
        <w:rPr>
          <w:rtl/>
        </w:rPr>
      </w:pPr>
      <w:r>
        <w:rPr>
          <w:rtl/>
        </w:rPr>
        <w:tab/>
      </w:r>
      <w:r w:rsidR="00DC3E1A">
        <w:rPr>
          <w:rFonts w:hint="cs"/>
          <w:rtl/>
        </w:rPr>
        <w:t>לשיטת המשיבה,</w:t>
      </w:r>
      <w:r>
        <w:rPr>
          <w:rFonts w:hint="cs"/>
          <w:rtl/>
        </w:rPr>
        <w:t xml:space="preserve"> כניסה הדרגתית לקרוואנים, לאחר דפיקה על דלתם ובירור זהות</w:t>
      </w:r>
      <w:r w:rsidR="008D7D28">
        <w:rPr>
          <w:rFonts w:hint="cs"/>
          <w:rtl/>
        </w:rPr>
        <w:t xml:space="preserve"> ה</w:t>
      </w:r>
      <w:r>
        <w:rPr>
          <w:rFonts w:hint="cs"/>
          <w:rtl/>
        </w:rPr>
        <w:t>מחזיק, הייתה מאפשרת את העלמת ה</w:t>
      </w:r>
      <w:r w:rsidR="00DC3E1A">
        <w:rPr>
          <w:rFonts w:hint="cs"/>
          <w:rtl/>
        </w:rPr>
        <w:t xml:space="preserve">ראיות בשני הקרוואנים. עוד נטען, כי </w:t>
      </w:r>
      <w:r>
        <w:rPr>
          <w:rFonts w:hint="cs"/>
          <w:rtl/>
        </w:rPr>
        <w:t xml:space="preserve">עובדת נוכחותו של שלתיאל בקרוואן של המערער מקימה עילה נוספת לכניסה ולחיפוש בקרוואן של המערער. </w:t>
      </w:r>
      <w:r w:rsidR="008D7D28">
        <w:rPr>
          <w:rFonts w:hint="cs"/>
          <w:rtl/>
        </w:rPr>
        <w:t>המשיבה</w:t>
      </w:r>
      <w:r>
        <w:rPr>
          <w:rFonts w:hint="cs"/>
          <w:rtl/>
        </w:rPr>
        <w:t xml:space="preserve"> הוסיפה כי היא אינה רואה להתייחס לקביעות בית משפט השלום</w:t>
      </w:r>
      <w:r w:rsidR="00FE4756">
        <w:rPr>
          <w:rFonts w:hint="cs"/>
          <w:rtl/>
        </w:rPr>
        <w:t xml:space="preserve"> אשר הורו על פסילת ראיות נגזרות</w:t>
      </w:r>
      <w:r>
        <w:rPr>
          <w:rFonts w:hint="cs"/>
          <w:rtl/>
        </w:rPr>
        <w:t xml:space="preserve"> והיא מפנה לעניין זה לפסק דינו של בית המשפט המחוזי. </w:t>
      </w:r>
    </w:p>
    <w:p w:rsidR="007C007F" w:rsidRDefault="007C007F" w:rsidP="007C007F">
      <w:pPr>
        <w:pStyle w:val="Ruller4"/>
        <w:rPr>
          <w:rtl/>
        </w:rPr>
      </w:pPr>
    </w:p>
    <w:p w:rsidR="000A14EB" w:rsidRDefault="000A14EB" w:rsidP="008D7D28">
      <w:pPr>
        <w:pStyle w:val="Ruller41"/>
        <w:numPr>
          <w:ilvl w:val="0"/>
          <w:numId w:val="11"/>
        </w:numPr>
        <w:overflowPunct/>
        <w:autoSpaceDE/>
        <w:autoSpaceDN/>
        <w:adjustRightInd/>
        <w:spacing w:after="420"/>
        <w:textAlignment w:val="auto"/>
      </w:pPr>
      <w:r>
        <w:rPr>
          <w:rFonts w:hint="cs"/>
          <w:rtl/>
        </w:rPr>
        <w:t xml:space="preserve">בתשובה לתגובת </w:t>
      </w:r>
      <w:r w:rsidR="008D7D28">
        <w:rPr>
          <w:rFonts w:hint="cs"/>
          <w:rtl/>
        </w:rPr>
        <w:t>המשיבה</w:t>
      </w:r>
      <w:r>
        <w:rPr>
          <w:rFonts w:hint="cs"/>
          <w:rtl/>
        </w:rPr>
        <w:t xml:space="preserve">, חידד המערער וטען </w:t>
      </w:r>
      <w:r w:rsidR="00FE4756">
        <w:rPr>
          <w:rFonts w:hint="cs"/>
          <w:rtl/>
        </w:rPr>
        <w:t xml:space="preserve">כי </w:t>
      </w:r>
      <w:r>
        <w:rPr>
          <w:rFonts w:hint="cs"/>
          <w:rtl/>
        </w:rPr>
        <w:t xml:space="preserve">עוד לפני הגעת השוטרים לתא השטח היה ידוע </w:t>
      </w:r>
      <w:r w:rsidR="00FE4756">
        <w:rPr>
          <w:rFonts w:hint="cs"/>
          <w:rtl/>
        </w:rPr>
        <w:t>להם</w:t>
      </w:r>
      <w:r>
        <w:rPr>
          <w:rFonts w:hint="cs"/>
          <w:rtl/>
        </w:rPr>
        <w:t xml:space="preserve"> כי קיימים שם שני קרוואנים</w:t>
      </w:r>
      <w:r w:rsidR="00FE4756">
        <w:rPr>
          <w:rFonts w:hint="cs"/>
          <w:rtl/>
        </w:rPr>
        <w:t>,</w:t>
      </w:r>
      <w:r>
        <w:rPr>
          <w:rFonts w:hint="cs"/>
          <w:rtl/>
        </w:rPr>
        <w:t xml:space="preserve"> אולם </w:t>
      </w:r>
      <w:r w:rsidR="00FE4756">
        <w:rPr>
          <w:rFonts w:hint="cs"/>
          <w:rtl/>
        </w:rPr>
        <w:t>"</w:t>
      </w:r>
      <w:r>
        <w:rPr>
          <w:rFonts w:hint="cs"/>
          <w:rtl/>
        </w:rPr>
        <w:t>לא עניין</w:t>
      </w:r>
      <w:r w:rsidR="00FE4756">
        <w:rPr>
          <w:rFonts w:hint="cs"/>
          <w:rtl/>
        </w:rPr>
        <w:t>"</w:t>
      </w:r>
      <w:r>
        <w:rPr>
          <w:rFonts w:hint="cs"/>
          <w:rtl/>
        </w:rPr>
        <w:t xml:space="preserve"> אותם איזה מהם מוחזק על ידי שלתיאל. אם כן, אין מדובר במקרה שבו המשטרה הציגה לפני השופט</w:t>
      </w:r>
      <w:r w:rsidR="00462435">
        <w:rPr>
          <w:rFonts w:hint="cs"/>
          <w:rtl/>
        </w:rPr>
        <w:t>ת</w:t>
      </w:r>
      <w:r>
        <w:rPr>
          <w:rFonts w:hint="cs"/>
          <w:rtl/>
        </w:rPr>
        <w:t xml:space="preserve"> שנעתר</w:t>
      </w:r>
      <w:r w:rsidR="00462435">
        <w:rPr>
          <w:rFonts w:hint="cs"/>
          <w:rtl/>
        </w:rPr>
        <w:t>ה</w:t>
      </w:r>
      <w:r>
        <w:rPr>
          <w:rFonts w:hint="cs"/>
          <w:rtl/>
        </w:rPr>
        <w:t xml:space="preserve"> לבקשה למתן צו חיפוש את מלוא המידע שהיה ברשותה. עוד נטען, כי הכניסה לקרוואן שבו מתגורר המערער לא הייתה שגיאה בתום לב, שכן השוטרים כלל לא העניקו חשיבות </w:t>
      </w:r>
      <w:r w:rsidR="008D7D28">
        <w:rPr>
          <w:rFonts w:hint="cs"/>
          <w:rtl/>
        </w:rPr>
        <w:t>לזהות</w:t>
      </w:r>
      <w:r>
        <w:rPr>
          <w:rFonts w:hint="cs"/>
          <w:rtl/>
        </w:rPr>
        <w:t xml:space="preserve"> המחזיק בכל קרוואן. בנוסף, המערער טוען נגד פרשנות </w:t>
      </w:r>
      <w:r w:rsidR="008D7D28">
        <w:rPr>
          <w:rFonts w:hint="cs"/>
          <w:rtl/>
        </w:rPr>
        <w:t>המשיבה</w:t>
      </w:r>
      <w:r>
        <w:rPr>
          <w:rFonts w:hint="cs"/>
          <w:rtl/>
        </w:rPr>
        <w:t xml:space="preserve"> כי צו החיפוש כלל מעין "הסכמה מכללא" של בית המשפט לחיפוש אצל מחזיקים נוספים במבנים אשר אינם מוחזקים על ידי שלתיאל. נומק, כי אפילו המשטרה לא פירשה כך את הצו, </w:t>
      </w:r>
      <w:r w:rsidR="008D7D28">
        <w:rPr>
          <w:rFonts w:hint="cs"/>
          <w:rtl/>
        </w:rPr>
        <w:t>כפי שניתן ללמוד</w:t>
      </w:r>
      <w:r>
        <w:rPr>
          <w:rFonts w:hint="cs"/>
          <w:rtl/>
        </w:rPr>
        <w:t xml:space="preserve"> מהע</w:t>
      </w:r>
      <w:r w:rsidR="00FE4756">
        <w:rPr>
          <w:rFonts w:hint="cs"/>
          <w:rtl/>
        </w:rPr>
        <w:t>ו</w:t>
      </w:r>
      <w:r>
        <w:rPr>
          <w:rFonts w:hint="cs"/>
          <w:rtl/>
        </w:rPr>
        <w:t xml:space="preserve">בדה שלא נעשה חיפוש בבית המרכזי שבמתחם. המערער שב </w:t>
      </w:r>
      <w:r w:rsidR="008D7D28">
        <w:rPr>
          <w:rFonts w:hint="cs"/>
          <w:rtl/>
        </w:rPr>
        <w:t>והדגיש</w:t>
      </w:r>
      <w:r>
        <w:rPr>
          <w:rFonts w:hint="cs"/>
          <w:rtl/>
        </w:rPr>
        <w:t xml:space="preserve"> כי הצו הוגבל לחיפוש במקרקעין המוחזקים על ידי שלתיאל. </w:t>
      </w:r>
    </w:p>
    <w:p w:rsidR="00402D99" w:rsidRDefault="00616F1D" w:rsidP="00E51F19">
      <w:pPr>
        <w:pStyle w:val="Ruller41"/>
        <w:numPr>
          <w:ilvl w:val="0"/>
          <w:numId w:val="11"/>
        </w:numPr>
        <w:overflowPunct/>
        <w:autoSpaceDE/>
        <w:autoSpaceDN/>
        <w:adjustRightInd/>
        <w:spacing w:after="420"/>
        <w:textAlignment w:val="auto"/>
        <w:rPr>
          <w:rtl/>
        </w:rPr>
      </w:pPr>
      <w:r>
        <w:rPr>
          <w:rFonts w:hint="cs"/>
          <w:rtl/>
        </w:rPr>
        <w:t xml:space="preserve">לאחר הדיון, ובאופן חריג, </w:t>
      </w:r>
      <w:r w:rsidR="008D7D28">
        <w:rPr>
          <w:rFonts w:hint="cs"/>
          <w:rtl/>
        </w:rPr>
        <w:t>המשיבה</w:t>
      </w:r>
      <w:r>
        <w:rPr>
          <w:rFonts w:hint="cs"/>
          <w:rtl/>
        </w:rPr>
        <w:t xml:space="preserve"> </w:t>
      </w:r>
      <w:r w:rsidR="002225A2">
        <w:rPr>
          <w:rFonts w:hint="cs"/>
          <w:rtl/>
        </w:rPr>
        <w:t xml:space="preserve">ביקשה </w:t>
      </w:r>
      <w:r>
        <w:rPr>
          <w:rFonts w:hint="cs"/>
          <w:rtl/>
        </w:rPr>
        <w:t>להגיש השלמת טיעון. מש</w:t>
      </w:r>
      <w:r w:rsidR="009F20EC">
        <w:rPr>
          <w:rFonts w:hint="cs"/>
          <w:rtl/>
        </w:rPr>
        <w:t>הותר לה, הגישה</w:t>
      </w:r>
      <w:r>
        <w:rPr>
          <w:rFonts w:hint="cs"/>
          <w:rtl/>
        </w:rPr>
        <w:t xml:space="preserve"> השלמת טיעון קצרה לה צורף מכתב של ניצב-משנה ניסן </w:t>
      </w:r>
      <w:proofErr w:type="spellStart"/>
      <w:r>
        <w:rPr>
          <w:rFonts w:hint="cs"/>
          <w:rtl/>
        </w:rPr>
        <w:t>מיכו</w:t>
      </w:r>
      <w:proofErr w:type="spellEnd"/>
      <w:r w:rsidR="008F0170">
        <w:rPr>
          <w:rFonts w:hint="cs"/>
          <w:rtl/>
        </w:rPr>
        <w:t xml:space="preserve"> מחטיבת המודיעין של המשטרה. </w:t>
      </w:r>
      <w:r w:rsidR="00EF00D1">
        <w:rPr>
          <w:rFonts w:hint="cs"/>
          <w:rtl/>
        </w:rPr>
        <w:t>בהתבסס על</w:t>
      </w:r>
      <w:r w:rsidR="008F0170">
        <w:rPr>
          <w:rFonts w:hint="cs"/>
          <w:rtl/>
        </w:rPr>
        <w:t xml:space="preserve"> מכתב זה, נטען כי </w:t>
      </w:r>
      <w:r w:rsidR="00E51F19">
        <w:rPr>
          <w:rFonts w:hint="cs"/>
          <w:rtl/>
        </w:rPr>
        <w:t>יש השלכות רוחב ממשיות ל</w:t>
      </w:r>
      <w:r w:rsidR="008F0170">
        <w:rPr>
          <w:rFonts w:hint="cs"/>
          <w:rtl/>
        </w:rPr>
        <w:t xml:space="preserve">אופן פירוש צווים שניתנו </w:t>
      </w:r>
      <w:r w:rsidR="00EF00D1">
        <w:rPr>
          <w:rFonts w:hint="cs"/>
          <w:rtl/>
        </w:rPr>
        <w:t>לפי</w:t>
      </w:r>
      <w:r w:rsidR="008F0170">
        <w:rPr>
          <w:rFonts w:hint="cs"/>
          <w:rtl/>
        </w:rPr>
        <w:t xml:space="preserve"> </w:t>
      </w:r>
      <w:r w:rsidR="00C37A10">
        <w:rPr>
          <w:rFonts w:hint="cs"/>
          <w:rtl/>
        </w:rPr>
        <w:t>תצלום אוויר</w:t>
      </w:r>
      <w:r w:rsidR="00E51F19">
        <w:rPr>
          <w:rFonts w:hint="cs"/>
          <w:rtl/>
        </w:rPr>
        <w:t xml:space="preserve">, וכי </w:t>
      </w:r>
      <w:r w:rsidR="008F0170" w:rsidRPr="008D7D28">
        <w:rPr>
          <w:rFonts w:hint="cs"/>
          <w:rtl/>
        </w:rPr>
        <w:t xml:space="preserve">אם </w:t>
      </w:r>
      <w:r w:rsidR="00E51F19">
        <w:rPr>
          <w:rFonts w:hint="cs"/>
          <w:rtl/>
        </w:rPr>
        <w:t>ה</w:t>
      </w:r>
      <w:r w:rsidR="008D7D28" w:rsidRPr="008D7D28">
        <w:rPr>
          <w:rFonts w:hint="cs"/>
          <w:rtl/>
        </w:rPr>
        <w:t xml:space="preserve">פרשנות </w:t>
      </w:r>
      <w:r w:rsidR="00E51F19">
        <w:rPr>
          <w:rFonts w:hint="cs"/>
          <w:rtl/>
        </w:rPr>
        <w:t>הנטענת</w:t>
      </w:r>
      <w:r w:rsidR="008D7D28" w:rsidRPr="008D7D28">
        <w:rPr>
          <w:rFonts w:hint="cs"/>
          <w:rtl/>
        </w:rPr>
        <w:t xml:space="preserve"> תתקבל</w:t>
      </w:r>
      <w:r w:rsidR="008F0170" w:rsidRPr="005601DF">
        <w:rPr>
          <w:rFonts w:ascii="Century" w:hAnsi="Century" w:cs="Miriam" w:hint="cs"/>
          <w:b/>
          <w:spacing w:val="0"/>
          <w:sz w:val="22"/>
          <w:szCs w:val="24"/>
          <w:rtl/>
        </w:rPr>
        <w:t xml:space="preserve"> </w:t>
      </w:r>
      <w:r w:rsidR="008D7D28">
        <w:rPr>
          <w:rFonts w:ascii="Century" w:hAnsi="Century" w:cs="Miriam" w:hint="cs"/>
          <w:b/>
          <w:spacing w:val="0"/>
          <w:sz w:val="22"/>
          <w:szCs w:val="24"/>
          <w:rtl/>
        </w:rPr>
        <w:t>"</w:t>
      </w:r>
      <w:r w:rsidR="008F0170" w:rsidRPr="005601DF">
        <w:rPr>
          <w:rFonts w:ascii="Century" w:hAnsi="Century" w:cs="Miriam" w:hint="cs"/>
          <w:b/>
          <w:spacing w:val="0"/>
          <w:sz w:val="22"/>
          <w:szCs w:val="24"/>
          <w:rtl/>
        </w:rPr>
        <w:t xml:space="preserve">יהיה בכך כדי לפגוע </w:t>
      </w:r>
      <w:r w:rsidR="00ED4CBD" w:rsidRPr="005601DF">
        <w:rPr>
          <w:rFonts w:ascii="Century" w:hAnsi="Century" w:cs="Miriam" w:hint="cs"/>
          <w:b/>
          <w:spacing w:val="0"/>
          <w:sz w:val="22"/>
          <w:szCs w:val="24"/>
          <w:rtl/>
        </w:rPr>
        <w:t>פגיעה ממשית ביכולת המשטרה להילחם בפשיעה הגואה בחברה הישראלית</w:t>
      </w:r>
      <w:r w:rsidR="00F649A4">
        <w:rPr>
          <w:rFonts w:hint="cs"/>
          <w:rtl/>
        </w:rPr>
        <w:t xml:space="preserve">". </w:t>
      </w:r>
      <w:r w:rsidR="00402D99">
        <w:rPr>
          <w:rFonts w:hint="cs"/>
          <w:rtl/>
        </w:rPr>
        <w:t>המערער הגיב להשלמת הטיעון, וטען, במישור הדיוני, כי הוא מתנגד להגשת הנספח</w:t>
      </w:r>
      <w:r w:rsidR="00A462B4">
        <w:rPr>
          <w:rFonts w:hint="cs"/>
          <w:rtl/>
        </w:rPr>
        <w:t xml:space="preserve"> המהווה למעשה רא</w:t>
      </w:r>
      <w:r w:rsidR="00F5503D">
        <w:rPr>
          <w:rFonts w:hint="cs"/>
          <w:rtl/>
        </w:rPr>
        <w:t xml:space="preserve">יה חדשה אשר הוגשה שלא כדין, ואשר נדרש היה להגישה לפני הערכאות קמא. לגופם של דברים, נטען כי המערער אינו חולק על כך שבית המשפט מוסמך להתיר למשטרה לחפש </w:t>
      </w:r>
      <w:r w:rsidR="00F649A4">
        <w:rPr>
          <w:rFonts w:hint="cs"/>
          <w:rtl/>
        </w:rPr>
        <w:t xml:space="preserve">על בסיס </w:t>
      </w:r>
      <w:r w:rsidR="00C37A10">
        <w:rPr>
          <w:rFonts w:hint="cs"/>
          <w:rtl/>
        </w:rPr>
        <w:t>תצלום אוויר</w:t>
      </w:r>
      <w:r w:rsidR="00F649A4">
        <w:rPr>
          <w:rFonts w:hint="cs"/>
          <w:rtl/>
        </w:rPr>
        <w:t xml:space="preserve">, אלא כי טענותיו הן ביחס לחובות המוטלות על המשטרה לצורך כך. </w:t>
      </w:r>
    </w:p>
    <w:p w:rsidR="00616F1D" w:rsidRDefault="00616F1D" w:rsidP="00616F1D">
      <w:pPr>
        <w:pStyle w:val="Ruller4"/>
        <w:rPr>
          <w:rFonts w:cs="Miriam"/>
          <w:b/>
          <w:spacing w:val="0"/>
          <w:szCs w:val="24"/>
          <w:rtl/>
        </w:rPr>
      </w:pPr>
      <w:r>
        <w:rPr>
          <w:rFonts w:cs="Miriam" w:hint="cs"/>
          <w:b/>
          <w:spacing w:val="0"/>
          <w:szCs w:val="24"/>
          <w:rtl/>
        </w:rPr>
        <w:t>דיון והכרעה</w:t>
      </w:r>
    </w:p>
    <w:p w:rsidR="00616F1D" w:rsidRDefault="00616F1D" w:rsidP="00616F1D">
      <w:pPr>
        <w:pStyle w:val="Ruller4"/>
        <w:rPr>
          <w:rFonts w:cs="Miriam"/>
          <w:b/>
          <w:spacing w:val="0"/>
          <w:szCs w:val="24"/>
          <w:rtl/>
        </w:rPr>
      </w:pPr>
    </w:p>
    <w:p w:rsidR="00377BF0" w:rsidRPr="00CD1323" w:rsidRDefault="000A14EB" w:rsidP="008D7D28">
      <w:pPr>
        <w:pStyle w:val="Ruller41"/>
        <w:numPr>
          <w:ilvl w:val="0"/>
          <w:numId w:val="11"/>
        </w:numPr>
        <w:overflowPunct/>
        <w:autoSpaceDE/>
        <w:autoSpaceDN/>
        <w:adjustRightInd/>
        <w:spacing w:after="420"/>
        <w:textAlignment w:val="auto"/>
      </w:pPr>
      <w:r>
        <w:rPr>
          <w:rFonts w:hint="cs"/>
          <w:rtl/>
        </w:rPr>
        <w:t xml:space="preserve">לא אחת אנו נדרשים לדון </w:t>
      </w:r>
      <w:proofErr w:type="spellStart"/>
      <w:r>
        <w:rPr>
          <w:rFonts w:hint="cs"/>
          <w:rtl/>
        </w:rPr>
        <w:t>בנפקותם</w:t>
      </w:r>
      <w:proofErr w:type="spellEnd"/>
      <w:r>
        <w:rPr>
          <w:rFonts w:hint="cs"/>
          <w:rtl/>
        </w:rPr>
        <w:t xml:space="preserve"> של פגמים שנפלו בשלב כזה או אחר של הליך החקירה</w:t>
      </w:r>
      <w:r w:rsidR="00D95665">
        <w:rPr>
          <w:rFonts w:hint="cs"/>
          <w:rtl/>
        </w:rPr>
        <w:t xml:space="preserve"> הפלילית</w:t>
      </w:r>
      <w:r>
        <w:rPr>
          <w:rFonts w:hint="cs"/>
          <w:rtl/>
        </w:rPr>
        <w:t>. המסגר</w:t>
      </w:r>
      <w:r w:rsidR="00AD10E7">
        <w:rPr>
          <w:rFonts w:hint="cs"/>
          <w:rtl/>
        </w:rPr>
        <w:t xml:space="preserve">ת הנורמטיבית לבחינת פגמים </w:t>
      </w:r>
      <w:r w:rsidR="008D7D28">
        <w:rPr>
          <w:rFonts w:hint="cs"/>
          <w:rtl/>
        </w:rPr>
        <w:t xml:space="preserve">מעין </w:t>
      </w:r>
      <w:r w:rsidR="00AD10E7">
        <w:rPr>
          <w:rFonts w:hint="cs"/>
          <w:rtl/>
        </w:rPr>
        <w:t>אלו</w:t>
      </w:r>
      <w:r>
        <w:rPr>
          <w:rFonts w:hint="cs"/>
          <w:rtl/>
        </w:rPr>
        <w:t xml:space="preserve"> </w:t>
      </w:r>
      <w:r w:rsidR="00AD10E7">
        <w:rPr>
          <w:rFonts w:hint="cs"/>
          <w:rtl/>
        </w:rPr>
        <w:t>והשלכותיהם</w:t>
      </w:r>
      <w:r>
        <w:rPr>
          <w:rFonts w:hint="cs"/>
          <w:rtl/>
        </w:rPr>
        <w:t xml:space="preserve"> </w:t>
      </w:r>
      <w:r w:rsidR="00AD10E7">
        <w:rPr>
          <w:rFonts w:hint="cs"/>
          <w:rtl/>
        </w:rPr>
        <w:t>הראייתיות</w:t>
      </w:r>
      <w:r>
        <w:rPr>
          <w:rFonts w:hint="cs"/>
          <w:rtl/>
        </w:rPr>
        <w:t xml:space="preserve"> נדונה </w:t>
      </w:r>
      <w:r w:rsidR="00D95665">
        <w:rPr>
          <w:rFonts w:hint="cs"/>
          <w:rtl/>
        </w:rPr>
        <w:t xml:space="preserve">בפסיקה </w:t>
      </w:r>
      <w:r>
        <w:rPr>
          <w:rFonts w:hint="cs"/>
          <w:rtl/>
        </w:rPr>
        <w:t xml:space="preserve">פעמים </w:t>
      </w:r>
      <w:r w:rsidRPr="00CD1323">
        <w:rPr>
          <w:rFonts w:hint="cs"/>
          <w:rtl/>
        </w:rPr>
        <w:t>רבות</w:t>
      </w:r>
      <w:r w:rsidR="00E82351" w:rsidRPr="00CD1323">
        <w:rPr>
          <w:rFonts w:hint="cs"/>
          <w:rtl/>
        </w:rPr>
        <w:t xml:space="preserve"> (ראו</w:t>
      </w:r>
      <w:r w:rsidR="000E36BB">
        <w:rPr>
          <w:rFonts w:hint="cs"/>
          <w:rtl/>
        </w:rPr>
        <w:t>, מני רבים</w:t>
      </w:r>
      <w:r w:rsidR="00E82351" w:rsidRPr="00CD1323">
        <w:rPr>
          <w:rFonts w:hint="cs"/>
          <w:rtl/>
        </w:rPr>
        <w:t xml:space="preserve">: </w:t>
      </w:r>
      <w:r w:rsidR="00CD1323" w:rsidRPr="00CD1323">
        <w:rPr>
          <w:rtl/>
        </w:rPr>
        <w:t xml:space="preserve">ע"פ 5121/98 </w:t>
      </w:r>
      <w:proofErr w:type="spellStart"/>
      <w:r w:rsidR="00CD1323" w:rsidRPr="00CD1323">
        <w:rPr>
          <w:rFonts w:ascii="Century" w:hAnsi="Century" w:cs="Miriam"/>
          <w:b/>
          <w:spacing w:val="0"/>
          <w:sz w:val="22"/>
          <w:szCs w:val="24"/>
          <w:rtl/>
        </w:rPr>
        <w:t>יששכרוב</w:t>
      </w:r>
      <w:proofErr w:type="spellEnd"/>
      <w:r w:rsidR="00CD1323" w:rsidRPr="00CD1323">
        <w:rPr>
          <w:rFonts w:ascii="Century" w:hAnsi="Century" w:cs="Miriam"/>
          <w:b/>
          <w:spacing w:val="0"/>
          <w:sz w:val="22"/>
          <w:szCs w:val="24"/>
          <w:rtl/>
        </w:rPr>
        <w:t xml:space="preserve"> נ' התובע הצבאי</w:t>
      </w:r>
      <w:r w:rsidR="00CD1323" w:rsidRPr="00CD1323">
        <w:rPr>
          <w:rtl/>
        </w:rPr>
        <w:t>,</w:t>
      </w:r>
      <w:r w:rsidR="00CD1323" w:rsidRPr="00CD1323">
        <w:rPr>
          <w:rFonts w:hint="cs"/>
          <w:rtl/>
        </w:rPr>
        <w:t xml:space="preserve"> פ"ד</w:t>
      </w:r>
      <w:r w:rsidR="00CD1323" w:rsidRPr="00CD1323">
        <w:rPr>
          <w:rtl/>
        </w:rPr>
        <w:t xml:space="preserve"> </w:t>
      </w:r>
      <w:proofErr w:type="spellStart"/>
      <w:r w:rsidR="00CD1323" w:rsidRPr="00CD1323">
        <w:rPr>
          <w:rtl/>
        </w:rPr>
        <w:t>סא</w:t>
      </w:r>
      <w:proofErr w:type="spellEnd"/>
      <w:r w:rsidR="00CD1323" w:rsidRPr="00CD1323">
        <w:rPr>
          <w:rtl/>
        </w:rPr>
        <w:t xml:space="preserve">(1) </w:t>
      </w:r>
      <w:r w:rsidR="00CD1323" w:rsidRPr="00CD1323">
        <w:rPr>
          <w:rFonts w:hint="cs"/>
          <w:rtl/>
        </w:rPr>
        <w:t>461 (2006)</w:t>
      </w:r>
      <w:r w:rsidR="00CE422B">
        <w:rPr>
          <w:rFonts w:hint="cs"/>
          <w:rtl/>
        </w:rPr>
        <w:t xml:space="preserve"> (להלן: הלכת </w:t>
      </w:r>
      <w:proofErr w:type="spellStart"/>
      <w:r w:rsidR="00CE422B" w:rsidRPr="00CE422B">
        <w:rPr>
          <w:rFonts w:ascii="Century" w:hAnsi="Century" w:cs="Miriam" w:hint="cs"/>
          <w:b/>
          <w:spacing w:val="0"/>
          <w:sz w:val="22"/>
          <w:szCs w:val="24"/>
          <w:rtl/>
        </w:rPr>
        <w:t>יששכרוב</w:t>
      </w:r>
      <w:proofErr w:type="spellEnd"/>
      <w:r w:rsidR="00CE422B">
        <w:rPr>
          <w:rFonts w:hint="cs"/>
          <w:rtl/>
        </w:rPr>
        <w:t>)</w:t>
      </w:r>
      <w:r w:rsidR="00CD1323" w:rsidRPr="00CD1323">
        <w:rPr>
          <w:rFonts w:hint="cs"/>
          <w:rtl/>
        </w:rPr>
        <w:t xml:space="preserve">; </w:t>
      </w:r>
      <w:r w:rsidR="00CD1323" w:rsidRPr="00CD1323">
        <w:rPr>
          <w:rtl/>
        </w:rPr>
        <w:t xml:space="preserve">ע"פ 4988/08 </w:t>
      </w:r>
      <w:r w:rsidR="00CD1323" w:rsidRPr="00CD1323">
        <w:rPr>
          <w:rFonts w:ascii="Century" w:hAnsi="Century" w:cs="Miriam"/>
          <w:b/>
          <w:spacing w:val="0"/>
          <w:sz w:val="22"/>
          <w:szCs w:val="24"/>
          <w:rtl/>
        </w:rPr>
        <w:t>פרחי נ' מדינת ישראל</w:t>
      </w:r>
      <w:r w:rsidR="00CD1323" w:rsidRPr="00CD1323">
        <w:rPr>
          <w:rtl/>
        </w:rPr>
        <w:t>,</w:t>
      </w:r>
      <w:r w:rsidR="00CD1323" w:rsidRPr="00CD1323">
        <w:rPr>
          <w:rFonts w:hint="cs"/>
          <w:rtl/>
        </w:rPr>
        <w:t xml:space="preserve"> פ"ד</w:t>
      </w:r>
      <w:r w:rsidR="00CD1323" w:rsidRPr="00CD1323">
        <w:rPr>
          <w:rtl/>
        </w:rPr>
        <w:t xml:space="preserve"> סה(1) 626</w:t>
      </w:r>
      <w:r w:rsidR="00CD1323" w:rsidRPr="00CD1323">
        <w:rPr>
          <w:rFonts w:hint="cs"/>
          <w:rtl/>
        </w:rPr>
        <w:t xml:space="preserve"> (2011)</w:t>
      </w:r>
      <w:r w:rsidR="008D7D28">
        <w:rPr>
          <w:rFonts w:hint="cs"/>
          <w:rtl/>
        </w:rPr>
        <w:t xml:space="preserve"> (להלן: עניין </w:t>
      </w:r>
      <w:r w:rsidR="008D7D28" w:rsidRPr="008D7D28">
        <w:rPr>
          <w:rFonts w:ascii="Century" w:hAnsi="Century" w:cs="Miriam" w:hint="cs"/>
          <w:b/>
          <w:spacing w:val="0"/>
          <w:sz w:val="22"/>
          <w:szCs w:val="24"/>
          <w:rtl/>
        </w:rPr>
        <w:t>פרחי</w:t>
      </w:r>
      <w:r w:rsidR="008D7D28">
        <w:rPr>
          <w:rFonts w:hint="cs"/>
          <w:rtl/>
        </w:rPr>
        <w:t>)</w:t>
      </w:r>
      <w:r w:rsidR="00CD1323">
        <w:rPr>
          <w:rFonts w:hint="cs"/>
          <w:rtl/>
        </w:rPr>
        <w:t xml:space="preserve">; </w:t>
      </w:r>
      <w:proofErr w:type="spellStart"/>
      <w:r w:rsidR="00CD1323" w:rsidRPr="00177384">
        <w:rPr>
          <w:rtl/>
        </w:rPr>
        <w:t>רע"פ</w:t>
      </w:r>
      <w:proofErr w:type="spellEnd"/>
      <w:r w:rsidR="00CD1323" w:rsidRPr="00177384">
        <w:rPr>
          <w:rtl/>
        </w:rPr>
        <w:t xml:space="preserve"> 3199/20 </w:t>
      </w:r>
      <w:proofErr w:type="spellStart"/>
      <w:r w:rsidR="00CD1323" w:rsidRPr="00177384">
        <w:rPr>
          <w:rFonts w:ascii="Century" w:hAnsi="Century" w:cs="Miriam"/>
          <w:b/>
          <w:spacing w:val="0"/>
          <w:sz w:val="22"/>
          <w:szCs w:val="24"/>
          <w:rtl/>
        </w:rPr>
        <w:t>זייצב</w:t>
      </w:r>
      <w:proofErr w:type="spellEnd"/>
      <w:r w:rsidR="00CD1323" w:rsidRPr="00177384">
        <w:rPr>
          <w:rFonts w:ascii="Century" w:hAnsi="Century" w:cs="Miriam"/>
          <w:b/>
          <w:spacing w:val="0"/>
          <w:sz w:val="22"/>
          <w:szCs w:val="24"/>
          <w:rtl/>
        </w:rPr>
        <w:t xml:space="preserve"> נ' מדינת ישראל</w:t>
      </w:r>
      <w:r w:rsidR="004607A8">
        <w:rPr>
          <w:rFonts w:hint="cs"/>
          <w:rtl/>
        </w:rPr>
        <w:t xml:space="preserve"> </w:t>
      </w:r>
      <w:r w:rsidR="00CD1323" w:rsidRPr="00177384">
        <w:rPr>
          <w:rtl/>
        </w:rPr>
        <w:t>(12.</w:t>
      </w:r>
      <w:r w:rsidR="00CD1323">
        <w:rPr>
          <w:rFonts w:hint="cs"/>
          <w:rtl/>
        </w:rPr>
        <w:t>8</w:t>
      </w:r>
      <w:r w:rsidR="00CD1323" w:rsidRPr="00177384">
        <w:rPr>
          <w:rtl/>
        </w:rPr>
        <w:t>.2021)</w:t>
      </w:r>
      <w:r w:rsidR="00CD1323">
        <w:rPr>
          <w:rFonts w:hint="cs"/>
          <w:rtl/>
        </w:rPr>
        <w:t xml:space="preserve"> (להלן: עניין </w:t>
      </w:r>
      <w:proofErr w:type="spellStart"/>
      <w:r w:rsidR="00CD1323" w:rsidRPr="00CD1323">
        <w:rPr>
          <w:rFonts w:ascii="Century" w:hAnsi="Century" w:cs="Miriam" w:hint="cs"/>
          <w:b/>
          <w:spacing w:val="0"/>
          <w:sz w:val="22"/>
          <w:szCs w:val="24"/>
          <w:rtl/>
        </w:rPr>
        <w:t>זייצב</w:t>
      </w:r>
      <w:proofErr w:type="spellEnd"/>
      <w:r w:rsidR="00CD1323">
        <w:rPr>
          <w:rFonts w:hint="cs"/>
          <w:rtl/>
        </w:rPr>
        <w:t>)</w:t>
      </w:r>
      <w:r w:rsidR="004607A8">
        <w:rPr>
          <w:rFonts w:hint="cs"/>
          <w:rtl/>
        </w:rPr>
        <w:t xml:space="preserve">; </w:t>
      </w:r>
      <w:r w:rsidR="004607A8" w:rsidRPr="004607A8">
        <w:rPr>
          <w:rFonts w:hint="cs"/>
          <w:rtl/>
        </w:rPr>
        <w:t xml:space="preserve">ולאחרונה, </w:t>
      </w:r>
      <w:r w:rsidR="00865DA7">
        <w:rPr>
          <w:rFonts w:hint="cs"/>
          <w:rtl/>
        </w:rPr>
        <w:t>ב</w:t>
      </w:r>
      <w:r w:rsidR="004607A8" w:rsidRPr="004607A8">
        <w:rPr>
          <w:rFonts w:hint="cs"/>
          <w:rtl/>
        </w:rPr>
        <w:t xml:space="preserve">פסק דינה של חברתי, השופטת </w:t>
      </w:r>
      <w:r w:rsidR="004607A8" w:rsidRPr="004607A8">
        <w:rPr>
          <w:rFonts w:ascii="Century" w:hAnsi="Century" w:cs="Miriam" w:hint="cs"/>
          <w:b/>
          <w:spacing w:val="0"/>
          <w:sz w:val="22"/>
          <w:szCs w:val="24"/>
          <w:rtl/>
        </w:rPr>
        <w:t>ר' רונן</w:t>
      </w:r>
      <w:r w:rsidR="004607A8" w:rsidRPr="004607A8">
        <w:rPr>
          <w:rFonts w:hint="cs"/>
          <w:rtl/>
        </w:rPr>
        <w:t>, ב</w:t>
      </w:r>
      <w:r w:rsidR="004607A8" w:rsidRPr="004607A8">
        <w:rPr>
          <w:rtl/>
        </w:rPr>
        <w:t xml:space="preserve">ע"פ 8313/22 </w:t>
      </w:r>
      <w:r w:rsidR="004607A8" w:rsidRPr="004607A8">
        <w:rPr>
          <w:rFonts w:ascii="Century" w:hAnsi="Century" w:cs="Miriam"/>
          <w:b/>
          <w:spacing w:val="0"/>
          <w:sz w:val="22"/>
          <w:szCs w:val="24"/>
          <w:rtl/>
        </w:rPr>
        <w:t>פלוני נ' מדינת ישראל</w:t>
      </w:r>
      <w:r w:rsidR="004607A8" w:rsidRPr="004607A8">
        <w:rPr>
          <w:rFonts w:hint="cs"/>
          <w:rtl/>
        </w:rPr>
        <w:t xml:space="preserve">, פסקה 11 </w:t>
      </w:r>
      <w:r w:rsidR="004607A8" w:rsidRPr="004607A8">
        <w:rPr>
          <w:rtl/>
        </w:rPr>
        <w:t>(</w:t>
      </w:r>
      <w:r w:rsidR="004607A8">
        <w:rPr>
          <w:rFonts w:hint="cs"/>
          <w:rtl/>
        </w:rPr>
        <w:t>7</w:t>
      </w:r>
      <w:r w:rsidR="004607A8" w:rsidRPr="004607A8">
        <w:rPr>
          <w:rtl/>
        </w:rPr>
        <w:t>.</w:t>
      </w:r>
      <w:r w:rsidR="004607A8">
        <w:rPr>
          <w:rFonts w:hint="cs"/>
          <w:rtl/>
        </w:rPr>
        <w:t>5</w:t>
      </w:r>
      <w:r w:rsidR="004607A8" w:rsidRPr="004607A8">
        <w:rPr>
          <w:rtl/>
        </w:rPr>
        <w:t>.2024)</w:t>
      </w:r>
      <w:r w:rsidR="00CD1323" w:rsidRPr="004607A8">
        <w:rPr>
          <w:rFonts w:hint="cs"/>
          <w:rtl/>
        </w:rPr>
        <w:t xml:space="preserve">). </w:t>
      </w:r>
      <w:r w:rsidR="000E36BB" w:rsidRPr="004607A8">
        <w:rPr>
          <w:rFonts w:hint="cs"/>
          <w:rtl/>
        </w:rPr>
        <w:t>דילמות</w:t>
      </w:r>
      <w:r w:rsidR="000E36BB">
        <w:rPr>
          <w:rFonts w:hint="cs"/>
          <w:rtl/>
        </w:rPr>
        <w:t xml:space="preserve"> </w:t>
      </w:r>
      <w:r w:rsidR="00AD10E7">
        <w:rPr>
          <w:rFonts w:hint="cs"/>
          <w:rtl/>
        </w:rPr>
        <w:t>מסוג זה</w:t>
      </w:r>
      <w:r w:rsidR="000E36BB">
        <w:rPr>
          <w:rFonts w:hint="cs"/>
          <w:rtl/>
        </w:rPr>
        <w:t xml:space="preserve">, בדבר המשמעות הראייתית של פגמים בהליך החקירה, על כלל היבטיהן, </w:t>
      </w:r>
      <w:r w:rsidR="00AD10E7">
        <w:rPr>
          <w:rFonts w:hint="cs"/>
          <w:rtl/>
        </w:rPr>
        <w:t>מעסיקות</w:t>
      </w:r>
      <w:r w:rsidR="000E36BB">
        <w:rPr>
          <w:rFonts w:hint="cs"/>
          <w:rtl/>
        </w:rPr>
        <w:t xml:space="preserve"> שיטות משפט רבות </w:t>
      </w:r>
      <w:r w:rsidR="00AD10E7">
        <w:rPr>
          <w:rFonts w:hint="cs"/>
          <w:rtl/>
        </w:rPr>
        <w:t>ומלוות גם</w:t>
      </w:r>
      <w:r w:rsidR="000E36BB">
        <w:rPr>
          <w:rFonts w:hint="cs"/>
          <w:rtl/>
        </w:rPr>
        <w:t xml:space="preserve"> את שיטת המשפט הישראלית </w:t>
      </w:r>
      <w:r w:rsidR="008D7D28">
        <w:rPr>
          <w:rFonts w:hint="cs"/>
          <w:rtl/>
        </w:rPr>
        <w:t>מזה</w:t>
      </w:r>
      <w:r w:rsidR="000E36BB">
        <w:rPr>
          <w:rFonts w:hint="cs"/>
          <w:rtl/>
        </w:rPr>
        <w:t xml:space="preserve"> עשרות שנים. </w:t>
      </w:r>
    </w:p>
    <w:p w:rsidR="000E36BB" w:rsidRDefault="00377BF0" w:rsidP="00B1055A">
      <w:pPr>
        <w:pStyle w:val="Ruller41"/>
        <w:tabs>
          <w:tab w:val="clear" w:pos="907"/>
        </w:tabs>
        <w:overflowPunct/>
        <w:autoSpaceDE/>
        <w:autoSpaceDN/>
        <w:adjustRightInd/>
        <w:spacing w:after="420"/>
        <w:textAlignment w:val="auto"/>
        <w:rPr>
          <w:rtl/>
        </w:rPr>
      </w:pPr>
      <w:r>
        <w:rPr>
          <w:rtl/>
        </w:rPr>
        <w:tab/>
      </w:r>
      <w:r w:rsidR="000E36BB">
        <w:rPr>
          <w:rFonts w:hint="cs"/>
          <w:rtl/>
        </w:rPr>
        <w:t>אשר על כן</w:t>
      </w:r>
      <w:r w:rsidR="000A14EB">
        <w:rPr>
          <w:rFonts w:hint="cs"/>
          <w:rtl/>
        </w:rPr>
        <w:t xml:space="preserve">, לו </w:t>
      </w:r>
      <w:r w:rsidR="00B1055A">
        <w:rPr>
          <w:rFonts w:hint="cs"/>
          <w:rtl/>
        </w:rPr>
        <w:t>המשיבה הייתה מסכימה כי</w:t>
      </w:r>
      <w:r w:rsidR="000E36BB">
        <w:rPr>
          <w:rFonts w:hint="cs"/>
          <w:rtl/>
        </w:rPr>
        <w:t xml:space="preserve"> </w:t>
      </w:r>
      <w:r w:rsidR="000A14EB">
        <w:rPr>
          <w:rFonts w:hint="cs"/>
          <w:rtl/>
        </w:rPr>
        <w:t xml:space="preserve">נפל פגם בהליך הוצאת צו החיפוש או </w:t>
      </w:r>
      <w:r w:rsidR="000A14EB" w:rsidRPr="00CD1323">
        <w:rPr>
          <w:rFonts w:hint="cs"/>
          <w:rtl/>
        </w:rPr>
        <w:t xml:space="preserve">מימושו, </w:t>
      </w:r>
      <w:r w:rsidR="000E36BB">
        <w:rPr>
          <w:rFonts w:hint="cs"/>
          <w:rtl/>
        </w:rPr>
        <w:t>המחלוקת בבקשה שלפנינו הייתה</w:t>
      </w:r>
      <w:r w:rsidR="000A14EB" w:rsidRPr="00CD1323">
        <w:rPr>
          <w:rFonts w:hint="cs"/>
          <w:rtl/>
        </w:rPr>
        <w:t xml:space="preserve"> </w:t>
      </w:r>
      <w:r w:rsidR="000E36BB">
        <w:rPr>
          <w:rFonts w:hint="cs"/>
          <w:rtl/>
        </w:rPr>
        <w:t>מתוחמת</w:t>
      </w:r>
      <w:r w:rsidR="000A14EB" w:rsidRPr="00CD1323">
        <w:rPr>
          <w:rFonts w:hint="cs"/>
          <w:rtl/>
        </w:rPr>
        <w:t xml:space="preserve"> </w:t>
      </w:r>
      <w:r w:rsidR="00E82351" w:rsidRPr="00CD1323">
        <w:rPr>
          <w:rFonts w:hint="cs"/>
          <w:rtl/>
        </w:rPr>
        <w:t>ל</w:t>
      </w:r>
      <w:r w:rsidR="000E36BB">
        <w:rPr>
          <w:rFonts w:hint="cs"/>
          <w:rtl/>
        </w:rPr>
        <w:t>יישום הוראות הדין ב</w:t>
      </w:r>
      <w:r w:rsidR="00E82351" w:rsidRPr="00CD1323">
        <w:rPr>
          <w:rFonts w:hint="cs"/>
          <w:rtl/>
        </w:rPr>
        <w:t xml:space="preserve">מקרה </w:t>
      </w:r>
      <w:r w:rsidR="000E36BB">
        <w:rPr>
          <w:rFonts w:hint="cs"/>
          <w:rtl/>
        </w:rPr>
        <w:t>הקונקרטי</w:t>
      </w:r>
      <w:r w:rsidR="00E82351" w:rsidRPr="00CD1323">
        <w:rPr>
          <w:rFonts w:hint="cs"/>
          <w:rtl/>
        </w:rPr>
        <w:t xml:space="preserve"> שלפנינו. בהתאם, ה</w:t>
      </w:r>
      <w:r w:rsidR="00CD1323" w:rsidRPr="00CD1323">
        <w:rPr>
          <w:rFonts w:hint="cs"/>
          <w:rtl/>
        </w:rPr>
        <w:t>ייתה ניתנת רשות ערעור רק ב</w:t>
      </w:r>
      <w:r w:rsidR="00CD1323" w:rsidRPr="00CD1323">
        <w:rPr>
          <w:rtl/>
        </w:rPr>
        <w:t>נסיבות המקימות חשש לעיוות דין או אי צדק מהותי</w:t>
      </w:r>
      <w:r w:rsidR="00CD1323" w:rsidRPr="00CD1323">
        <w:rPr>
          <w:rFonts w:hint="cs"/>
          <w:rtl/>
        </w:rPr>
        <w:t xml:space="preserve"> (ראו והשוו: </w:t>
      </w:r>
      <w:proofErr w:type="spellStart"/>
      <w:r w:rsidR="00CD1323" w:rsidRPr="00CD1323">
        <w:rPr>
          <w:rtl/>
        </w:rPr>
        <w:t>רע"פ</w:t>
      </w:r>
      <w:proofErr w:type="spellEnd"/>
      <w:r w:rsidR="00CD1323" w:rsidRPr="00CD1323">
        <w:rPr>
          <w:rtl/>
        </w:rPr>
        <w:t xml:space="preserve"> 7901/23 </w:t>
      </w:r>
      <w:r w:rsidR="00CD1323" w:rsidRPr="00CD1323">
        <w:rPr>
          <w:rFonts w:ascii="Century" w:hAnsi="Century" w:cs="Miriam"/>
          <w:b/>
          <w:spacing w:val="0"/>
          <w:sz w:val="22"/>
          <w:szCs w:val="24"/>
          <w:rtl/>
        </w:rPr>
        <w:t>אמסלם נ' מדינת ישראל</w:t>
      </w:r>
      <w:r w:rsidR="00CD1323" w:rsidRPr="00CD1323">
        <w:rPr>
          <w:rtl/>
        </w:rPr>
        <w:t xml:space="preserve"> (</w:t>
      </w:r>
      <w:r w:rsidR="00CD1323" w:rsidRPr="00CD1323">
        <w:rPr>
          <w:rFonts w:hint="cs"/>
          <w:rtl/>
        </w:rPr>
        <w:t>7</w:t>
      </w:r>
      <w:r w:rsidR="00CD1323" w:rsidRPr="00CD1323">
        <w:rPr>
          <w:rtl/>
        </w:rPr>
        <w:t>.</w:t>
      </w:r>
      <w:r w:rsidR="00CD1323" w:rsidRPr="00CD1323">
        <w:rPr>
          <w:rFonts w:hint="cs"/>
          <w:rtl/>
        </w:rPr>
        <w:t>4</w:t>
      </w:r>
      <w:r w:rsidR="00CD1323" w:rsidRPr="00CD1323">
        <w:rPr>
          <w:rtl/>
        </w:rPr>
        <w:t>.2024)</w:t>
      </w:r>
      <w:r w:rsidR="00CD1323">
        <w:rPr>
          <w:rFonts w:hint="cs"/>
          <w:rtl/>
        </w:rPr>
        <w:t xml:space="preserve">; </w:t>
      </w:r>
      <w:proofErr w:type="spellStart"/>
      <w:r w:rsidR="00CD1323" w:rsidRPr="00CD1323">
        <w:rPr>
          <w:rtl/>
        </w:rPr>
        <w:t>רע"פ</w:t>
      </w:r>
      <w:proofErr w:type="spellEnd"/>
      <w:r w:rsidR="00CD1323" w:rsidRPr="00CD1323">
        <w:rPr>
          <w:rtl/>
        </w:rPr>
        <w:t xml:space="preserve"> 2919/22 </w:t>
      </w:r>
      <w:proofErr w:type="spellStart"/>
      <w:r w:rsidR="00CD1323" w:rsidRPr="00CD1323">
        <w:rPr>
          <w:rFonts w:ascii="Century" w:hAnsi="Century" w:cs="Miriam"/>
          <w:b/>
          <w:spacing w:val="0"/>
          <w:sz w:val="22"/>
          <w:szCs w:val="24"/>
          <w:rtl/>
        </w:rPr>
        <w:t>שעבאן</w:t>
      </w:r>
      <w:proofErr w:type="spellEnd"/>
      <w:r w:rsidR="00CD1323" w:rsidRPr="00CD1323">
        <w:rPr>
          <w:rFonts w:ascii="Century" w:hAnsi="Century" w:cs="Miriam"/>
          <w:b/>
          <w:spacing w:val="0"/>
          <w:sz w:val="22"/>
          <w:szCs w:val="24"/>
          <w:rtl/>
        </w:rPr>
        <w:t xml:space="preserve"> נ' מדינת ישראל</w:t>
      </w:r>
      <w:r w:rsidR="00CD1323" w:rsidRPr="00CD1323">
        <w:rPr>
          <w:rtl/>
        </w:rPr>
        <w:t> (</w:t>
      </w:r>
      <w:r w:rsidR="00CD1323">
        <w:rPr>
          <w:rFonts w:hint="cs"/>
          <w:rtl/>
        </w:rPr>
        <w:t>1</w:t>
      </w:r>
      <w:r w:rsidR="00CD1323" w:rsidRPr="00CD1323">
        <w:rPr>
          <w:rtl/>
        </w:rPr>
        <w:t>.</w:t>
      </w:r>
      <w:r w:rsidR="00CD1323">
        <w:rPr>
          <w:rFonts w:hint="cs"/>
          <w:rtl/>
        </w:rPr>
        <w:t>8</w:t>
      </w:r>
      <w:r w:rsidR="00CD1323" w:rsidRPr="00CD1323">
        <w:rPr>
          <w:rtl/>
        </w:rPr>
        <w:t>.2022)</w:t>
      </w:r>
      <w:r w:rsidR="00CD1323">
        <w:rPr>
          <w:rFonts w:hint="cs"/>
          <w:rtl/>
        </w:rPr>
        <w:t>).</w:t>
      </w:r>
    </w:p>
    <w:p w:rsidR="001B0AFB" w:rsidRDefault="000E36BB" w:rsidP="00C37A10">
      <w:pPr>
        <w:pStyle w:val="Ruller41"/>
        <w:tabs>
          <w:tab w:val="clear" w:pos="907"/>
        </w:tabs>
        <w:overflowPunct/>
        <w:autoSpaceDE/>
        <w:autoSpaceDN/>
        <w:adjustRightInd/>
        <w:spacing w:after="420"/>
        <w:textAlignment w:val="auto"/>
        <w:rPr>
          <w:rtl/>
        </w:rPr>
      </w:pPr>
      <w:r>
        <w:rPr>
          <w:rtl/>
        </w:rPr>
        <w:tab/>
      </w:r>
      <w:r w:rsidR="00E82351" w:rsidRPr="00CD1323">
        <w:rPr>
          <w:rFonts w:hint="cs"/>
          <w:rtl/>
        </w:rPr>
        <w:t xml:space="preserve">אלא שהמחלוקת בענייננו רחבה </w:t>
      </w:r>
      <w:r w:rsidR="009E1BD2">
        <w:rPr>
          <w:rFonts w:hint="cs"/>
          <w:rtl/>
        </w:rPr>
        <w:t>הרבה יותר</w:t>
      </w:r>
      <w:r w:rsidR="00E82351" w:rsidRPr="00CD1323">
        <w:rPr>
          <w:rFonts w:hint="cs"/>
          <w:rtl/>
        </w:rPr>
        <w:t xml:space="preserve">. עמדת </w:t>
      </w:r>
      <w:r w:rsidR="008D7D28">
        <w:rPr>
          <w:rFonts w:hint="cs"/>
          <w:rtl/>
        </w:rPr>
        <w:t>המשיבה</w:t>
      </w:r>
      <w:r w:rsidR="00E82351" w:rsidRPr="00CD1323">
        <w:rPr>
          <w:rFonts w:hint="cs"/>
          <w:rtl/>
        </w:rPr>
        <w:t xml:space="preserve">, עמדה מרחיקת לכת, היא שמרגע שניתן צו חיפוש על בסיס </w:t>
      </w:r>
      <w:r w:rsidR="00C37A10">
        <w:rPr>
          <w:rFonts w:hint="cs"/>
          <w:rtl/>
        </w:rPr>
        <w:t>תצלום אוויר</w:t>
      </w:r>
      <w:r w:rsidR="00E82351" w:rsidRPr="00CD1323">
        <w:rPr>
          <w:rFonts w:hint="cs"/>
          <w:rtl/>
        </w:rPr>
        <w:t xml:space="preserve">, כל השטח </w:t>
      </w:r>
      <w:r w:rsidR="009E279F" w:rsidRPr="00CD1323">
        <w:rPr>
          <w:rFonts w:hint="cs"/>
          <w:rtl/>
        </w:rPr>
        <w:t>המסומן</w:t>
      </w:r>
      <w:r w:rsidR="00E82351" w:rsidRPr="00CD1323">
        <w:rPr>
          <w:rFonts w:hint="cs"/>
          <w:rtl/>
        </w:rPr>
        <w:t xml:space="preserve"> </w:t>
      </w:r>
      <w:r w:rsidR="00C37A10">
        <w:rPr>
          <w:rFonts w:hint="cs"/>
          <w:rtl/>
        </w:rPr>
        <w:t>בתצלום</w:t>
      </w:r>
      <w:r w:rsidR="00E82351" w:rsidRPr="00CD1323">
        <w:rPr>
          <w:rFonts w:hint="cs"/>
          <w:rtl/>
        </w:rPr>
        <w:t xml:space="preserve"> הוא שטח שמותר</w:t>
      </w:r>
      <w:r w:rsidR="00E82351">
        <w:rPr>
          <w:rFonts w:hint="cs"/>
          <w:rtl/>
        </w:rPr>
        <w:t xml:space="preserve"> לחפש בו, גם אם הוא לא מוחזק על-ידי </w:t>
      </w:r>
      <w:r w:rsidR="00A462B4">
        <w:rPr>
          <w:rFonts w:hint="cs"/>
          <w:rtl/>
        </w:rPr>
        <w:t xml:space="preserve">מי שהצו הופנה כלפיו ומי שבעניינו </w:t>
      </w:r>
      <w:r w:rsidR="00CD1323">
        <w:rPr>
          <w:rFonts w:hint="cs"/>
          <w:rtl/>
        </w:rPr>
        <w:t>התגבשה</w:t>
      </w:r>
      <w:r w:rsidR="00B05B46">
        <w:rPr>
          <w:rFonts w:hint="cs"/>
          <w:rtl/>
        </w:rPr>
        <w:t xml:space="preserve"> </w:t>
      </w:r>
      <w:r w:rsidR="00CD1323">
        <w:rPr>
          <w:rFonts w:hint="cs"/>
          <w:rtl/>
        </w:rPr>
        <w:t>ה</w:t>
      </w:r>
      <w:r w:rsidR="00B05B46">
        <w:rPr>
          <w:rFonts w:hint="cs"/>
          <w:rtl/>
        </w:rPr>
        <w:t xml:space="preserve">תשתית </w:t>
      </w:r>
      <w:r w:rsidR="00CD1323">
        <w:rPr>
          <w:rFonts w:hint="cs"/>
          <w:rtl/>
        </w:rPr>
        <w:t>ה</w:t>
      </w:r>
      <w:r w:rsidR="00B05B46">
        <w:rPr>
          <w:rFonts w:hint="cs"/>
          <w:rtl/>
        </w:rPr>
        <w:t>ראייתית למתן הצו</w:t>
      </w:r>
      <w:r w:rsidR="00E82351">
        <w:rPr>
          <w:rFonts w:hint="cs"/>
          <w:rtl/>
        </w:rPr>
        <w:t>. לכן, לשיטתה, כלל לא נפל פגם</w:t>
      </w:r>
      <w:r w:rsidR="00B1055A">
        <w:rPr>
          <w:rFonts w:hint="cs"/>
          <w:rtl/>
        </w:rPr>
        <w:t xml:space="preserve"> במקרה דנן</w:t>
      </w:r>
      <w:r w:rsidR="00E82351">
        <w:rPr>
          <w:rFonts w:hint="cs"/>
          <w:rtl/>
        </w:rPr>
        <w:t xml:space="preserve">. </w:t>
      </w:r>
      <w:r w:rsidR="00B05B46">
        <w:rPr>
          <w:rFonts w:hint="cs"/>
          <w:rtl/>
        </w:rPr>
        <w:t xml:space="preserve">כלומר, אין מדובר בתקלה, כי אם </w:t>
      </w:r>
      <w:r w:rsidR="00B1055A">
        <w:rPr>
          <w:rFonts w:hint="cs"/>
          <w:rtl/>
        </w:rPr>
        <w:t>בהתנהלות</w:t>
      </w:r>
      <w:r w:rsidR="00B05B46">
        <w:rPr>
          <w:rFonts w:hint="cs"/>
          <w:rtl/>
        </w:rPr>
        <w:t xml:space="preserve"> נכונה וראויה</w:t>
      </w:r>
      <w:r w:rsidR="009F20EC">
        <w:rPr>
          <w:rFonts w:hint="cs"/>
          <w:rtl/>
        </w:rPr>
        <w:t xml:space="preserve"> </w:t>
      </w:r>
      <w:r w:rsidR="00CD1323">
        <w:rPr>
          <w:rFonts w:hint="cs"/>
          <w:rtl/>
        </w:rPr>
        <w:t>ש</w:t>
      </w:r>
      <w:r w:rsidR="001B0AFB">
        <w:rPr>
          <w:rFonts w:hint="cs"/>
          <w:rtl/>
        </w:rPr>
        <w:t xml:space="preserve">אף </w:t>
      </w:r>
      <w:r w:rsidR="00CD1323">
        <w:rPr>
          <w:rFonts w:hint="cs"/>
          <w:rtl/>
        </w:rPr>
        <w:t xml:space="preserve">רצוי לשמר. </w:t>
      </w:r>
      <w:r w:rsidR="00E82351">
        <w:rPr>
          <w:rFonts w:hint="cs"/>
          <w:rtl/>
        </w:rPr>
        <w:t xml:space="preserve">מכאן חשיבותה העקרונית של הסוגיה, המצדיקה דיון </w:t>
      </w:r>
      <w:r w:rsidR="00CD1323">
        <w:rPr>
          <w:rFonts w:hint="cs"/>
          <w:rtl/>
        </w:rPr>
        <w:t>חריג ב"גלגול שלישי"</w:t>
      </w:r>
      <w:r w:rsidR="00E82351">
        <w:rPr>
          <w:rFonts w:hint="cs"/>
          <w:rtl/>
        </w:rPr>
        <w:t xml:space="preserve">. </w:t>
      </w:r>
    </w:p>
    <w:p w:rsidR="00A462B4" w:rsidRDefault="001B0AFB" w:rsidP="006A3A53">
      <w:pPr>
        <w:pStyle w:val="Ruller41"/>
        <w:tabs>
          <w:tab w:val="clear" w:pos="907"/>
        </w:tabs>
        <w:overflowPunct/>
        <w:autoSpaceDE/>
        <w:autoSpaceDN/>
        <w:adjustRightInd/>
        <w:spacing w:after="420"/>
        <w:textAlignment w:val="auto"/>
        <w:rPr>
          <w:rtl/>
        </w:rPr>
      </w:pPr>
      <w:r>
        <w:rPr>
          <w:rtl/>
        </w:rPr>
        <w:tab/>
      </w:r>
      <w:r w:rsidR="00E82351">
        <w:rPr>
          <w:rFonts w:hint="cs"/>
          <w:rtl/>
        </w:rPr>
        <w:t xml:space="preserve">טרם אתייחס לפרטי המקרה, אציג את התשתית הנורמטיבית הנדרשת.  </w:t>
      </w:r>
    </w:p>
    <w:p w:rsidR="00A462B4" w:rsidRPr="00A462B4" w:rsidRDefault="00A462B4" w:rsidP="00A462B4">
      <w:pPr>
        <w:pStyle w:val="Ruller4"/>
        <w:rPr>
          <w:rFonts w:ascii="Century" w:hAnsi="Century" w:cs="Miriam"/>
          <w:b/>
          <w:spacing w:val="0"/>
          <w:szCs w:val="24"/>
          <w:rtl/>
        </w:rPr>
      </w:pPr>
      <w:r w:rsidRPr="00A462B4">
        <w:rPr>
          <w:rFonts w:ascii="Century" w:hAnsi="Century" w:cs="Miriam" w:hint="cs"/>
          <w:b/>
          <w:spacing w:val="0"/>
          <w:szCs w:val="24"/>
          <w:rtl/>
        </w:rPr>
        <w:t>צו חיפוש</w:t>
      </w:r>
      <w:r>
        <w:rPr>
          <w:rFonts w:ascii="Century" w:hAnsi="Century" w:cs="Miriam" w:hint="cs"/>
          <w:b/>
          <w:spacing w:val="0"/>
          <w:szCs w:val="24"/>
          <w:rtl/>
        </w:rPr>
        <w:t xml:space="preserve"> בחצרים </w:t>
      </w:r>
      <w:r w:rsidRPr="00A462B4">
        <w:rPr>
          <w:rFonts w:ascii="Century" w:hAnsi="Century" w:cs="Miriam"/>
          <w:b/>
          <w:spacing w:val="0"/>
          <w:szCs w:val="24"/>
          <w:rtl/>
        </w:rPr>
        <w:t>–</w:t>
      </w:r>
      <w:r w:rsidRPr="00A462B4">
        <w:rPr>
          <w:rFonts w:ascii="Century" w:hAnsi="Century" w:cs="Miriam" w:hint="cs"/>
          <w:b/>
          <w:spacing w:val="0"/>
          <w:szCs w:val="24"/>
          <w:rtl/>
        </w:rPr>
        <w:t xml:space="preserve"> מסגרת נורמטיבית</w:t>
      </w:r>
    </w:p>
    <w:p w:rsidR="00A462B4" w:rsidRPr="00A462B4" w:rsidRDefault="00A462B4" w:rsidP="00A462B4">
      <w:pPr>
        <w:pStyle w:val="Ruller4"/>
      </w:pPr>
    </w:p>
    <w:p w:rsidR="00E26866" w:rsidRDefault="00B1055A" w:rsidP="00D30565">
      <w:pPr>
        <w:pStyle w:val="Ruller41"/>
        <w:numPr>
          <w:ilvl w:val="0"/>
          <w:numId w:val="11"/>
        </w:numPr>
        <w:tabs>
          <w:tab w:val="clear" w:pos="907"/>
        </w:tabs>
        <w:overflowPunct/>
        <w:autoSpaceDE/>
        <w:autoSpaceDN/>
        <w:adjustRightInd/>
        <w:spacing w:after="420"/>
        <w:textAlignment w:val="auto"/>
      </w:pPr>
      <w:r>
        <w:rPr>
          <w:rFonts w:hint="cs"/>
          <w:rtl/>
        </w:rPr>
        <w:t>חיפוש בחצרים הוא אחד מ</w:t>
      </w:r>
      <w:r w:rsidR="00B05B46">
        <w:rPr>
          <w:rFonts w:hint="cs"/>
          <w:rtl/>
        </w:rPr>
        <w:t xml:space="preserve">בין אמצעי החקירה אשר הדין מקנה בידי רשויות אכיפת החוק. סמכות זו, כיתר </w:t>
      </w:r>
      <w:r w:rsidR="005D0160">
        <w:rPr>
          <w:rtl/>
        </w:rPr>
        <w:t>הסמכויות</w:t>
      </w:r>
      <w:r w:rsidR="005D0160">
        <w:rPr>
          <w:rFonts w:hint="cs"/>
          <w:rtl/>
        </w:rPr>
        <w:t xml:space="preserve"> </w:t>
      </w:r>
      <w:r w:rsidR="005D0160">
        <w:rPr>
          <w:rtl/>
        </w:rPr>
        <w:t xml:space="preserve">הנתונות לשוטרים בכלל וסמכויות החיפוש </w:t>
      </w:r>
      <w:r w:rsidR="00177384">
        <w:rPr>
          <w:rtl/>
        </w:rPr>
        <w:t>בפרט</w:t>
      </w:r>
      <w:r w:rsidR="00B6120D">
        <w:rPr>
          <w:rFonts w:hint="cs"/>
          <w:rtl/>
        </w:rPr>
        <w:t>,</w:t>
      </w:r>
      <w:r w:rsidR="00177384">
        <w:rPr>
          <w:rtl/>
        </w:rPr>
        <w:t xml:space="preserve"> מבטא</w:t>
      </w:r>
      <w:r w:rsidR="00B05B46">
        <w:rPr>
          <w:rtl/>
        </w:rPr>
        <w:t>ת</w:t>
      </w:r>
      <w:r w:rsidR="00B05B46">
        <w:rPr>
          <w:rFonts w:hint="cs"/>
          <w:rtl/>
        </w:rPr>
        <w:t xml:space="preserve"> את </w:t>
      </w:r>
      <w:r w:rsidR="005D0160">
        <w:rPr>
          <w:rtl/>
        </w:rPr>
        <w:t xml:space="preserve">האיזון שקבע המחוקק בין האינטרס הציבורי בתפקוד יעיל ואפקטיבי של המשטרה לבין הצורך בהגנה על זכויות האזרחים עימם באה המשטרה </w:t>
      </w:r>
      <w:r w:rsidR="005D0160" w:rsidRPr="00B05B46">
        <w:rPr>
          <w:rtl/>
        </w:rPr>
        <w:t>במגע</w:t>
      </w:r>
      <w:r w:rsidR="00B05B46" w:rsidRPr="00B05B46">
        <w:rPr>
          <w:rFonts w:hint="cs"/>
          <w:rtl/>
        </w:rPr>
        <w:t xml:space="preserve"> (</w:t>
      </w:r>
      <w:proofErr w:type="spellStart"/>
      <w:r w:rsidR="005D0160" w:rsidRPr="00B05B46">
        <w:rPr>
          <w:rtl/>
        </w:rPr>
        <w:t>רע"פ</w:t>
      </w:r>
      <w:proofErr w:type="spellEnd"/>
      <w:r w:rsidR="005D0160" w:rsidRPr="00B05B46">
        <w:rPr>
          <w:sz w:val="27"/>
          <w:szCs w:val="27"/>
          <w:rtl/>
        </w:rPr>
        <w:t xml:space="preserve"> 10141/09 </w:t>
      </w:r>
      <w:r w:rsidR="005D0160" w:rsidRPr="00B05B46">
        <w:rPr>
          <w:rFonts w:ascii="Century" w:hAnsi="Century" w:cs="Miriam"/>
          <w:b/>
          <w:spacing w:val="0"/>
          <w:sz w:val="22"/>
          <w:szCs w:val="24"/>
          <w:rtl/>
        </w:rPr>
        <w:t>בן חיים נ' מדינת ישראל</w:t>
      </w:r>
      <w:r w:rsidR="00B05B46" w:rsidRPr="00B05B46">
        <w:rPr>
          <w:rFonts w:hint="cs"/>
          <w:rtl/>
        </w:rPr>
        <w:t>,</w:t>
      </w:r>
      <w:r w:rsidR="005D0160" w:rsidRPr="00B05B46">
        <w:t xml:space="preserve"> </w:t>
      </w:r>
      <w:r w:rsidR="009F20EC">
        <w:rPr>
          <w:rFonts w:hint="cs"/>
          <w:rtl/>
        </w:rPr>
        <w:t xml:space="preserve">פ"ד </w:t>
      </w:r>
      <w:r>
        <w:rPr>
          <w:rtl/>
        </w:rPr>
        <w:t>סה(3) 305</w:t>
      </w:r>
      <w:r>
        <w:rPr>
          <w:rFonts w:hint="cs"/>
          <w:rtl/>
        </w:rPr>
        <w:t xml:space="preserve">, </w:t>
      </w:r>
      <w:r w:rsidR="00D30565">
        <w:rPr>
          <w:rFonts w:hint="cs"/>
          <w:rtl/>
        </w:rPr>
        <w:t>329-328</w:t>
      </w:r>
      <w:r>
        <w:rPr>
          <w:rFonts w:hint="cs"/>
          <w:rtl/>
        </w:rPr>
        <w:t xml:space="preserve"> </w:t>
      </w:r>
      <w:r w:rsidR="005D0160" w:rsidRPr="00B05B46">
        <w:rPr>
          <w:rtl/>
        </w:rPr>
        <w:t>(2012)</w:t>
      </w:r>
      <w:r w:rsidR="00FF1933">
        <w:rPr>
          <w:rFonts w:hint="cs"/>
          <w:rtl/>
        </w:rPr>
        <w:t xml:space="preserve"> (להלן: עניין </w:t>
      </w:r>
      <w:r w:rsidR="00FF1933" w:rsidRPr="00FF1933">
        <w:rPr>
          <w:rFonts w:ascii="Century" w:hAnsi="Century" w:cs="Miriam" w:hint="cs"/>
          <w:b/>
          <w:spacing w:val="0"/>
          <w:sz w:val="22"/>
          <w:szCs w:val="24"/>
          <w:rtl/>
        </w:rPr>
        <w:t>בן חיים</w:t>
      </w:r>
      <w:r w:rsidR="00B05B46" w:rsidRPr="00B05B46">
        <w:rPr>
          <w:rFonts w:hint="cs"/>
          <w:rtl/>
        </w:rPr>
        <w:t>)</w:t>
      </w:r>
      <w:r w:rsidR="00FF1933">
        <w:rPr>
          <w:rFonts w:hint="cs"/>
          <w:rtl/>
        </w:rPr>
        <w:t>)</w:t>
      </w:r>
      <w:r w:rsidR="00B05B46">
        <w:rPr>
          <w:rFonts w:hint="cs"/>
          <w:rtl/>
        </w:rPr>
        <w:t xml:space="preserve">. חיפוש שכזה, בדומה לחיפוש על גופו של </w:t>
      </w:r>
      <w:r w:rsidR="00B05B46" w:rsidRPr="00177384">
        <w:rPr>
          <w:rFonts w:hint="cs"/>
          <w:rtl/>
        </w:rPr>
        <w:t>אדם</w:t>
      </w:r>
      <w:r w:rsidR="00ED198E">
        <w:rPr>
          <w:rFonts w:hint="cs"/>
          <w:rtl/>
        </w:rPr>
        <w:t xml:space="preserve"> או </w:t>
      </w:r>
      <w:r w:rsidR="00177384" w:rsidRPr="00177384">
        <w:rPr>
          <w:rFonts w:hint="cs"/>
          <w:rtl/>
        </w:rPr>
        <w:t>בכליו "</w:t>
      </w:r>
      <w:r w:rsidR="00177384" w:rsidRPr="00177384">
        <w:rPr>
          <w:rFonts w:ascii="Century" w:hAnsi="Century" w:cs="Miriam"/>
          <w:b/>
          <w:spacing w:val="0"/>
          <w:sz w:val="22"/>
          <w:szCs w:val="24"/>
          <w:rtl/>
        </w:rPr>
        <w:t>משיל ממנו את פרטיותו, לעיתים תוך פגיעה בכבודו ובאוטונומיה שלו. על כן, דרך הכלל, בהיעדר הסמכה מפורשת בחוק, אין לערוך חיפושים מעין אלו</w:t>
      </w:r>
      <w:r w:rsidR="00177384">
        <w:rPr>
          <w:rFonts w:ascii="Century" w:hAnsi="Century" w:cs="Miriam" w:hint="cs"/>
          <w:b/>
          <w:spacing w:val="0"/>
          <w:sz w:val="22"/>
          <w:szCs w:val="24"/>
          <w:rtl/>
        </w:rPr>
        <w:t xml:space="preserve"> [...]"</w:t>
      </w:r>
      <w:r w:rsidR="00177384">
        <w:rPr>
          <w:rFonts w:ascii="Century" w:hAnsi="Century" w:cs="Miriam"/>
          <w:b/>
          <w:spacing w:val="0"/>
          <w:sz w:val="22"/>
          <w:szCs w:val="24"/>
          <w:rtl/>
        </w:rPr>
        <w:t xml:space="preserve"> </w:t>
      </w:r>
      <w:r w:rsidR="00177384">
        <w:rPr>
          <w:rFonts w:hint="cs"/>
          <w:rtl/>
        </w:rPr>
        <w:t>(</w:t>
      </w:r>
      <w:r w:rsidR="00CD1323">
        <w:rPr>
          <w:rFonts w:hint="cs"/>
          <w:rtl/>
        </w:rPr>
        <w:t xml:space="preserve">עניין </w:t>
      </w:r>
      <w:proofErr w:type="spellStart"/>
      <w:r w:rsidR="00CD1323" w:rsidRPr="00CD1323">
        <w:rPr>
          <w:rFonts w:ascii="Century" w:hAnsi="Century" w:cs="Miriam" w:hint="cs"/>
          <w:b/>
          <w:spacing w:val="0"/>
          <w:sz w:val="22"/>
          <w:szCs w:val="24"/>
          <w:rtl/>
        </w:rPr>
        <w:t>זייצב</w:t>
      </w:r>
      <w:proofErr w:type="spellEnd"/>
      <w:r w:rsidR="00177384" w:rsidRPr="00177384">
        <w:rPr>
          <w:rFonts w:hint="cs"/>
          <w:rtl/>
        </w:rPr>
        <w:t xml:space="preserve">, </w:t>
      </w:r>
      <w:r w:rsidR="00CD1323">
        <w:rPr>
          <w:rFonts w:hint="cs"/>
          <w:rtl/>
        </w:rPr>
        <w:t>ב</w:t>
      </w:r>
      <w:r w:rsidR="00177384" w:rsidRPr="00177384">
        <w:rPr>
          <w:rFonts w:hint="cs"/>
          <w:rtl/>
        </w:rPr>
        <w:t xml:space="preserve">פסקה </w:t>
      </w:r>
      <w:r w:rsidR="004607A8">
        <w:rPr>
          <w:rFonts w:hint="cs"/>
          <w:rtl/>
        </w:rPr>
        <w:t>16</w:t>
      </w:r>
      <w:r w:rsidR="00177384">
        <w:rPr>
          <w:rFonts w:hint="cs"/>
          <w:rtl/>
        </w:rPr>
        <w:t>)</w:t>
      </w:r>
      <w:r w:rsidR="00E26866">
        <w:rPr>
          <w:rFonts w:hint="cs"/>
          <w:rtl/>
        </w:rPr>
        <w:t>.</w:t>
      </w:r>
    </w:p>
    <w:p w:rsidR="00D01EC5" w:rsidRDefault="00E26866" w:rsidP="00D95665">
      <w:pPr>
        <w:pStyle w:val="Ruller41"/>
        <w:tabs>
          <w:tab w:val="clear" w:pos="907"/>
        </w:tabs>
        <w:overflowPunct/>
        <w:autoSpaceDE/>
        <w:autoSpaceDN/>
        <w:adjustRightInd/>
        <w:spacing w:after="420"/>
        <w:textAlignment w:val="auto"/>
        <w:rPr>
          <w:rtl/>
        </w:rPr>
      </w:pPr>
      <w:r>
        <w:rPr>
          <w:rtl/>
        </w:rPr>
        <w:tab/>
      </w:r>
      <w:r w:rsidR="00B1055A">
        <w:rPr>
          <w:rFonts w:hint="cs"/>
          <w:rtl/>
        </w:rPr>
        <w:t>זאת ועוד</w:t>
      </w:r>
      <w:r w:rsidR="00D95665">
        <w:rPr>
          <w:rFonts w:hint="cs"/>
          <w:rtl/>
        </w:rPr>
        <w:t xml:space="preserve">: לכל אדם עומדת </w:t>
      </w:r>
      <w:r w:rsidR="00FF1933">
        <w:rPr>
          <w:rFonts w:hint="cs"/>
          <w:rtl/>
        </w:rPr>
        <w:t xml:space="preserve">זכות </w:t>
      </w:r>
      <w:r w:rsidR="00FF1933" w:rsidRPr="00462435">
        <w:rPr>
          <w:rFonts w:ascii="Century" w:hAnsi="Century" w:cs="Miriam" w:hint="cs"/>
          <w:b/>
          <w:spacing w:val="0"/>
          <w:sz w:val="22"/>
          <w:szCs w:val="24"/>
          <w:rtl/>
        </w:rPr>
        <w:t>חוקתית</w:t>
      </w:r>
      <w:r w:rsidR="00FF1933" w:rsidRPr="00462435">
        <w:rPr>
          <w:rFonts w:hint="cs"/>
          <w:rtl/>
        </w:rPr>
        <w:t xml:space="preserve"> </w:t>
      </w:r>
      <w:r w:rsidR="00FF1933">
        <w:rPr>
          <w:rFonts w:hint="cs"/>
          <w:rtl/>
        </w:rPr>
        <w:t>לאי-עריכת חיפוש ברשות היחיד, המעוגנת בסעיף 7(ג) ל</w:t>
      </w:r>
      <w:r w:rsidR="00FF1933" w:rsidRPr="006C1290">
        <w:rPr>
          <w:rtl/>
        </w:rPr>
        <w:t>חוק-יסוד: כבוד האדם וחירותו</w:t>
      </w:r>
      <w:r w:rsidR="00325F79">
        <w:rPr>
          <w:rFonts w:hint="cs"/>
          <w:rtl/>
        </w:rPr>
        <w:t xml:space="preserve"> </w:t>
      </w:r>
      <w:r w:rsidR="00FF1933">
        <w:rPr>
          <w:rFonts w:hint="cs"/>
          <w:rtl/>
        </w:rPr>
        <w:t>(</w:t>
      </w:r>
      <w:r w:rsidR="00FF1933" w:rsidRPr="006C1290">
        <w:rPr>
          <w:rtl/>
        </w:rPr>
        <w:t xml:space="preserve">אהרן ברק, </w:t>
      </w:r>
      <w:r w:rsidR="00FF1933" w:rsidRPr="00136CDA">
        <w:rPr>
          <w:rFonts w:ascii="Century" w:hAnsi="Century" w:cs="Miriam"/>
          <w:b/>
          <w:spacing w:val="0"/>
          <w:sz w:val="22"/>
          <w:szCs w:val="24"/>
          <w:rtl/>
        </w:rPr>
        <w:t xml:space="preserve">חוק-יסוד: כבוד האדם וחירותו וחוק-יסוד: חופש העיסוק </w:t>
      </w:r>
      <w:r w:rsidR="00FF1933" w:rsidRPr="00B6120D">
        <w:rPr>
          <w:rtl/>
        </w:rPr>
        <w:t xml:space="preserve">כרך </w:t>
      </w:r>
      <w:r w:rsidR="00FF1933" w:rsidRPr="00B6120D">
        <w:rPr>
          <w:rFonts w:hint="cs"/>
          <w:rtl/>
        </w:rPr>
        <w:t>ג</w:t>
      </w:r>
      <w:r w:rsidR="00FF1933" w:rsidRPr="00B6120D">
        <w:rPr>
          <w:rtl/>
        </w:rPr>
        <w:t xml:space="preserve"> – </w:t>
      </w:r>
      <w:r w:rsidR="00FF1933" w:rsidRPr="00B6120D">
        <w:rPr>
          <w:rFonts w:hint="cs"/>
          <w:rtl/>
        </w:rPr>
        <w:t>זכויות חוקתיות מסדרת פירוש לחוקי היסוד</w:t>
      </w:r>
      <w:r w:rsidR="00FF1933" w:rsidRPr="006C1290">
        <w:rPr>
          <w:rtl/>
        </w:rPr>
        <w:t xml:space="preserve"> </w:t>
      </w:r>
      <w:r w:rsidR="00FF1933" w:rsidRPr="006C1290">
        <w:rPr>
          <w:rFonts w:hint="cs"/>
          <w:rtl/>
        </w:rPr>
        <w:t>1567</w:t>
      </w:r>
      <w:r w:rsidR="00961AF4">
        <w:rPr>
          <w:rtl/>
        </w:rPr>
        <w:t xml:space="preserve"> (יצחק זמיר עורך</w:t>
      </w:r>
      <w:r w:rsidR="00FF1933" w:rsidRPr="006C1290">
        <w:rPr>
          <w:rtl/>
        </w:rPr>
        <w:t xml:space="preserve"> 2023)</w:t>
      </w:r>
      <w:r w:rsidR="00FF1933">
        <w:rPr>
          <w:rFonts w:hint="cs"/>
          <w:rtl/>
        </w:rPr>
        <w:t xml:space="preserve">; </w:t>
      </w:r>
      <w:r w:rsidR="00FF1933" w:rsidRPr="006C1290">
        <w:rPr>
          <w:rFonts w:hint="cs"/>
          <w:rtl/>
        </w:rPr>
        <w:t xml:space="preserve">לעניין השלכותיו הנוספות של חוק יסוד: כבוד האדם וחירותו בהקשר זה, ראו: </w:t>
      </w:r>
      <w:r w:rsidR="00FF1933" w:rsidRPr="006C1290">
        <w:rPr>
          <w:rtl/>
        </w:rPr>
        <w:t xml:space="preserve">ע"פ 1641/04 </w:t>
      </w:r>
      <w:r w:rsidR="00FF1933" w:rsidRPr="00136CDA">
        <w:rPr>
          <w:rFonts w:ascii="Century" w:hAnsi="Century" w:cs="Miriam"/>
          <w:b/>
          <w:spacing w:val="0"/>
          <w:sz w:val="22"/>
          <w:szCs w:val="24"/>
          <w:rtl/>
        </w:rPr>
        <w:t>לוין נ' מדינת ישראל</w:t>
      </w:r>
      <w:r w:rsidR="00FF1933" w:rsidRPr="006C1290">
        <w:rPr>
          <w:rtl/>
        </w:rPr>
        <w:t>,</w:t>
      </w:r>
      <w:r w:rsidR="00FF1933" w:rsidRPr="006C1290">
        <w:rPr>
          <w:rFonts w:hint="cs"/>
          <w:rtl/>
        </w:rPr>
        <w:t xml:space="preserve"> פ"ד</w:t>
      </w:r>
      <w:r w:rsidR="00FF1933" w:rsidRPr="006C1290">
        <w:rPr>
          <w:rtl/>
        </w:rPr>
        <w:t xml:space="preserve"> נט(3) 785</w:t>
      </w:r>
      <w:r w:rsidR="00FF1933" w:rsidRPr="006C1290">
        <w:t xml:space="preserve"> </w:t>
      </w:r>
      <w:r w:rsidR="00325F79">
        <w:rPr>
          <w:rFonts w:hint="cs"/>
          <w:rtl/>
        </w:rPr>
        <w:t xml:space="preserve">(2004)). </w:t>
      </w:r>
    </w:p>
    <w:p w:rsidR="004607A8" w:rsidRDefault="00D01EC5" w:rsidP="00B6120D">
      <w:pPr>
        <w:pStyle w:val="Ruller41"/>
        <w:tabs>
          <w:tab w:val="clear" w:pos="907"/>
        </w:tabs>
        <w:overflowPunct/>
        <w:autoSpaceDE/>
        <w:autoSpaceDN/>
        <w:adjustRightInd/>
        <w:spacing w:after="420"/>
        <w:textAlignment w:val="auto"/>
        <w:rPr>
          <w:rtl/>
        </w:rPr>
      </w:pPr>
      <w:r>
        <w:rPr>
          <w:rtl/>
        </w:rPr>
        <w:tab/>
      </w:r>
      <w:r w:rsidR="009F20EC">
        <w:rPr>
          <w:rFonts w:hint="cs"/>
          <w:rtl/>
        </w:rPr>
        <w:t xml:space="preserve">בהתאם, </w:t>
      </w:r>
      <w:r w:rsidR="00FF1933" w:rsidRPr="00FF1933">
        <w:rPr>
          <w:rtl/>
        </w:rPr>
        <w:t xml:space="preserve">מרחב הפעולה של רשויות החקירה כפוף למגבלות ולסייגים שנועדו להבטיח </w:t>
      </w:r>
      <w:r w:rsidR="00B1055A">
        <w:rPr>
          <w:rFonts w:hint="cs"/>
          <w:rtl/>
        </w:rPr>
        <w:t>הליך</w:t>
      </w:r>
      <w:r w:rsidR="00FF1933" w:rsidRPr="00FF1933">
        <w:rPr>
          <w:rtl/>
        </w:rPr>
        <w:t xml:space="preserve"> הוגן ו</w:t>
      </w:r>
      <w:r w:rsidR="00B1055A">
        <w:rPr>
          <w:rFonts w:hint="cs"/>
          <w:rtl/>
        </w:rPr>
        <w:t xml:space="preserve">את </w:t>
      </w:r>
      <w:r w:rsidR="00FF1933" w:rsidRPr="00FF1933">
        <w:rPr>
          <w:rtl/>
        </w:rPr>
        <w:t>מי</w:t>
      </w:r>
      <w:r w:rsidR="00FF1933">
        <w:rPr>
          <w:rtl/>
        </w:rPr>
        <w:t>דתיות הפגיעה בזכויות נחקרים</w:t>
      </w:r>
      <w:r w:rsidR="00FF1933">
        <w:rPr>
          <w:rFonts w:hint="cs"/>
          <w:rtl/>
        </w:rPr>
        <w:t xml:space="preserve"> </w:t>
      </w:r>
      <w:r w:rsidR="00136CDA">
        <w:rPr>
          <w:rFonts w:hint="cs"/>
          <w:rtl/>
        </w:rPr>
        <w:t>ו</w:t>
      </w:r>
      <w:r w:rsidR="00FF1933" w:rsidRPr="00FF1933">
        <w:rPr>
          <w:rtl/>
        </w:rPr>
        <w:t>צדדים שלישיים</w:t>
      </w:r>
      <w:r w:rsidR="00FF1933">
        <w:rPr>
          <w:rFonts w:hint="cs"/>
          <w:rtl/>
        </w:rPr>
        <w:t xml:space="preserve">. </w:t>
      </w:r>
      <w:r w:rsidR="00325F79">
        <w:rPr>
          <w:rFonts w:hint="cs"/>
          <w:rtl/>
        </w:rPr>
        <w:t xml:space="preserve">אף נקבע כי </w:t>
      </w:r>
      <w:r w:rsidR="00325F79" w:rsidRPr="001B0AFB">
        <w:rPr>
          <w:rtl/>
        </w:rPr>
        <w:t>הקפדה על ביצוע</w:t>
      </w:r>
      <w:r w:rsidR="00325F79" w:rsidRPr="006113CB">
        <w:rPr>
          <w:rtl/>
        </w:rPr>
        <w:t xml:space="preserve"> </w:t>
      </w:r>
      <w:r w:rsidR="00325F79" w:rsidRPr="00412605">
        <w:rPr>
          <w:rtl/>
        </w:rPr>
        <w:t xml:space="preserve">נאות של צו חיפוש </w:t>
      </w:r>
      <w:r w:rsidR="00325F79" w:rsidRPr="00412605">
        <w:rPr>
          <w:rFonts w:hint="cs"/>
          <w:rtl/>
        </w:rPr>
        <w:t>הוא "</w:t>
      </w:r>
      <w:r w:rsidR="00325F79" w:rsidRPr="00412605">
        <w:rPr>
          <w:rFonts w:ascii="Century" w:hAnsi="Century" w:cs="Miriam"/>
          <w:b/>
          <w:spacing w:val="0"/>
          <w:sz w:val="22"/>
          <w:szCs w:val="24"/>
          <w:rtl/>
        </w:rPr>
        <w:t>מידה המתחייבת מזכויות היסוד של האדם: סעיף 7(ב)-(ג) לחוק-יסוד:</w:t>
      </w:r>
      <w:r w:rsidR="00325F79" w:rsidRPr="00412605">
        <w:rPr>
          <w:rFonts w:ascii="Century" w:hAnsi="Century" w:cs="Miriam" w:hint="cs"/>
          <w:b/>
          <w:spacing w:val="0"/>
          <w:sz w:val="22"/>
          <w:szCs w:val="24"/>
          <w:rtl/>
        </w:rPr>
        <w:t xml:space="preserve"> </w:t>
      </w:r>
      <w:r w:rsidR="00325F79" w:rsidRPr="00412605">
        <w:rPr>
          <w:rFonts w:ascii="Century" w:hAnsi="Century" w:cs="Miriam"/>
          <w:b/>
          <w:spacing w:val="0"/>
          <w:sz w:val="22"/>
          <w:szCs w:val="24"/>
          <w:rtl/>
        </w:rPr>
        <w:t>כבוד האדם וחירותו</w:t>
      </w:r>
      <w:r w:rsidR="00325F79">
        <w:rPr>
          <w:rFonts w:hint="cs"/>
          <w:rtl/>
        </w:rPr>
        <w:t>" (</w:t>
      </w:r>
      <w:r w:rsidR="00325F79" w:rsidRPr="00412605">
        <w:rPr>
          <w:rtl/>
        </w:rPr>
        <w:t>בש"פ 3377/97 </w:t>
      </w:r>
      <w:r w:rsidR="00325F79" w:rsidRPr="00412605">
        <w:rPr>
          <w:rFonts w:ascii="Century" w:hAnsi="Century" w:cs="Miriam"/>
          <w:b/>
          <w:spacing w:val="0"/>
          <w:sz w:val="22"/>
          <w:szCs w:val="24"/>
          <w:rtl/>
        </w:rPr>
        <w:t>תאופיק נ' מדינת ישראל</w:t>
      </w:r>
      <w:r w:rsidR="00325F79" w:rsidRPr="00412605">
        <w:rPr>
          <w:rtl/>
        </w:rPr>
        <w:t> (</w:t>
      </w:r>
      <w:r w:rsidR="00325F79">
        <w:rPr>
          <w:rFonts w:hint="cs"/>
          <w:rtl/>
        </w:rPr>
        <w:t>6</w:t>
      </w:r>
      <w:r w:rsidR="00325F79" w:rsidRPr="00412605">
        <w:rPr>
          <w:rtl/>
        </w:rPr>
        <w:t>.</w:t>
      </w:r>
      <w:r w:rsidR="00325F79">
        <w:rPr>
          <w:rFonts w:hint="cs"/>
          <w:rtl/>
        </w:rPr>
        <w:t>6</w:t>
      </w:r>
      <w:r w:rsidR="00325F79" w:rsidRPr="00412605">
        <w:rPr>
          <w:rtl/>
        </w:rPr>
        <w:t>.1997)</w:t>
      </w:r>
      <w:r w:rsidR="00325F79">
        <w:rPr>
          <w:rFonts w:hint="cs"/>
          <w:rtl/>
        </w:rPr>
        <w:t>).</w:t>
      </w:r>
      <w:r w:rsidR="00325F79" w:rsidRPr="00412605">
        <w:rPr>
          <w:rtl/>
        </w:rPr>
        <w:t>‏</w:t>
      </w:r>
      <w:r w:rsidR="00325F79">
        <w:rPr>
          <w:rFonts w:hint="cs"/>
          <w:rtl/>
        </w:rPr>
        <w:t xml:space="preserve"> </w:t>
      </w:r>
      <w:r w:rsidR="00B1055A">
        <w:rPr>
          <w:rFonts w:hint="cs"/>
          <w:rtl/>
        </w:rPr>
        <w:t>בסיס נוסף לחובה זו, ניתן למצוא</w:t>
      </w:r>
      <w:r w:rsidR="004607A8">
        <w:rPr>
          <w:rFonts w:hint="cs"/>
          <w:rtl/>
        </w:rPr>
        <w:t xml:space="preserve"> </w:t>
      </w:r>
      <w:r w:rsidR="00B1055A">
        <w:rPr>
          <w:rFonts w:hint="cs"/>
          <w:rtl/>
        </w:rPr>
        <w:t>ב</w:t>
      </w:r>
      <w:r w:rsidR="004607A8">
        <w:rPr>
          <w:rFonts w:hint="cs"/>
          <w:rtl/>
        </w:rPr>
        <w:t>עקרון חוקיות המנהל</w:t>
      </w:r>
      <w:r w:rsidR="00FE4756">
        <w:rPr>
          <w:rFonts w:hint="cs"/>
          <w:rtl/>
        </w:rPr>
        <w:t xml:space="preserve"> </w:t>
      </w:r>
      <w:r w:rsidR="00FE4756">
        <w:rPr>
          <w:rtl/>
        </w:rPr>
        <w:t>–</w:t>
      </w:r>
      <w:r w:rsidR="00FE4756">
        <w:rPr>
          <w:rFonts w:hint="cs"/>
          <w:rtl/>
        </w:rPr>
        <w:t xml:space="preserve"> </w:t>
      </w:r>
      <w:r w:rsidR="00B1055A">
        <w:rPr>
          <w:rFonts w:hint="cs"/>
          <w:rtl/>
        </w:rPr>
        <w:t xml:space="preserve">שהרי </w:t>
      </w:r>
      <w:r w:rsidR="00FF1933" w:rsidRPr="00FF1933">
        <w:rPr>
          <w:rFonts w:hint="cs"/>
          <w:rtl/>
        </w:rPr>
        <w:t>ב</w:t>
      </w:r>
      <w:r w:rsidR="00FF1933" w:rsidRPr="00FF1933">
        <w:rPr>
          <w:rtl/>
        </w:rPr>
        <w:t xml:space="preserve">עריכת חיפוש </w:t>
      </w:r>
      <w:r w:rsidR="00FF1933" w:rsidRPr="00FF1933">
        <w:rPr>
          <w:rFonts w:hint="cs"/>
          <w:rtl/>
        </w:rPr>
        <w:t xml:space="preserve">מפעיל </w:t>
      </w:r>
      <w:r w:rsidR="00FF1933" w:rsidRPr="00FF1933">
        <w:rPr>
          <w:rtl/>
        </w:rPr>
        <w:t xml:space="preserve">שוטר </w:t>
      </w:r>
      <w:r w:rsidR="00FF1933" w:rsidRPr="00FF1933">
        <w:rPr>
          <w:rFonts w:hint="cs"/>
          <w:rtl/>
        </w:rPr>
        <w:t>את</w:t>
      </w:r>
      <w:r w:rsidR="00FF1933" w:rsidRPr="00FF1933">
        <w:rPr>
          <w:rtl/>
        </w:rPr>
        <w:t xml:space="preserve"> סמכויותיו השלטוניות</w:t>
      </w:r>
      <w:r w:rsidR="004607A8">
        <w:rPr>
          <w:rFonts w:hint="cs"/>
          <w:rtl/>
        </w:rPr>
        <w:t xml:space="preserve"> ו</w:t>
      </w:r>
      <w:r w:rsidR="001B0AFB">
        <w:rPr>
          <w:rFonts w:hint="cs"/>
          <w:rtl/>
        </w:rPr>
        <w:t>עליו</w:t>
      </w:r>
      <w:r w:rsidR="00FF1933" w:rsidRPr="00FF1933">
        <w:rPr>
          <w:rFonts w:hint="cs"/>
          <w:rtl/>
        </w:rPr>
        <w:t xml:space="preserve"> לעמוד </w:t>
      </w:r>
      <w:r w:rsidR="00FF1933" w:rsidRPr="00FF1933">
        <w:rPr>
          <w:rtl/>
        </w:rPr>
        <w:t>באמות המידה שנקבעו בהוראות המשפט המינהלי ובחוקי סדר</w:t>
      </w:r>
      <w:r w:rsidR="00FF1933" w:rsidRPr="00FF1933">
        <w:rPr>
          <w:rFonts w:hint="cs"/>
          <w:rtl/>
        </w:rPr>
        <w:t xml:space="preserve"> </w:t>
      </w:r>
      <w:r w:rsidR="00FF1933" w:rsidRPr="00FF1933">
        <w:rPr>
          <w:rtl/>
        </w:rPr>
        <w:t>הדין הפלילי</w:t>
      </w:r>
      <w:r w:rsidR="00FF1933" w:rsidRPr="00FF1933">
        <w:rPr>
          <w:rFonts w:hint="cs"/>
          <w:rtl/>
        </w:rPr>
        <w:t xml:space="preserve">. </w:t>
      </w:r>
      <w:r w:rsidR="004607A8">
        <w:rPr>
          <w:rFonts w:hint="cs"/>
          <w:rtl/>
        </w:rPr>
        <w:t>ההקפדה על הוראות אלו חיונית כאשר בידי רשויות החקירה</w:t>
      </w:r>
      <w:r w:rsidR="004607A8">
        <w:rPr>
          <w:rtl/>
        </w:rPr>
        <w:t xml:space="preserve"> </w:t>
      </w:r>
      <w:r w:rsidR="00FF1933" w:rsidRPr="00FF1933">
        <w:rPr>
          <w:rtl/>
        </w:rPr>
        <w:t xml:space="preserve">סמכויות המתירות </w:t>
      </w:r>
      <w:r w:rsidR="00B6120D">
        <w:rPr>
          <w:rFonts w:hint="cs"/>
          <w:rtl/>
        </w:rPr>
        <w:t>להן</w:t>
      </w:r>
      <w:r w:rsidR="00FF1933" w:rsidRPr="00FF1933">
        <w:rPr>
          <w:rtl/>
        </w:rPr>
        <w:t xml:space="preserve"> לפגוע בזכויות אדם, </w:t>
      </w:r>
      <w:r w:rsidR="00FF1933" w:rsidRPr="00FF1933">
        <w:rPr>
          <w:rFonts w:hint="cs"/>
          <w:rtl/>
        </w:rPr>
        <w:t>ולעיתים</w:t>
      </w:r>
      <w:r w:rsidR="00FF1933" w:rsidRPr="00FF1933">
        <w:rPr>
          <w:rtl/>
        </w:rPr>
        <w:t xml:space="preserve"> בזכויות הבסיסיות ביותר של אדם </w:t>
      </w:r>
      <w:r w:rsidR="00FF1933" w:rsidRPr="00FF1933">
        <w:rPr>
          <w:rFonts w:hint="cs"/>
          <w:rtl/>
        </w:rPr>
        <w:t xml:space="preserve">(עניין </w:t>
      </w:r>
      <w:r w:rsidR="00FF1933" w:rsidRPr="00FF1933">
        <w:rPr>
          <w:rFonts w:ascii="Century" w:hAnsi="Century" w:cs="Miriam" w:hint="cs"/>
          <w:b/>
          <w:spacing w:val="0"/>
          <w:sz w:val="22"/>
          <w:szCs w:val="24"/>
          <w:rtl/>
        </w:rPr>
        <w:t>בן חיים</w:t>
      </w:r>
      <w:r w:rsidR="009F20EC">
        <w:rPr>
          <w:rFonts w:hint="cs"/>
          <w:rtl/>
        </w:rPr>
        <w:t xml:space="preserve">, בפסקה </w:t>
      </w:r>
      <w:r w:rsidR="005557E1">
        <w:rPr>
          <w:rFonts w:hint="cs"/>
          <w:rtl/>
        </w:rPr>
        <w:t>22</w:t>
      </w:r>
      <w:r w:rsidR="009F20EC">
        <w:rPr>
          <w:rFonts w:hint="cs"/>
          <w:rtl/>
        </w:rPr>
        <w:t>)</w:t>
      </w:r>
      <w:r w:rsidR="00325F79">
        <w:rPr>
          <w:rFonts w:hint="cs"/>
          <w:rtl/>
        </w:rPr>
        <w:t>.</w:t>
      </w:r>
      <w:r w:rsidR="001B0AFB">
        <w:rPr>
          <w:rFonts w:hint="cs"/>
          <w:rtl/>
        </w:rPr>
        <w:t xml:space="preserve"> </w:t>
      </w:r>
    </w:p>
    <w:p w:rsidR="005D0160" w:rsidRPr="00325F79" w:rsidRDefault="00B1055A" w:rsidP="00743B29">
      <w:pPr>
        <w:pStyle w:val="Ruller41"/>
        <w:numPr>
          <w:ilvl w:val="0"/>
          <w:numId w:val="11"/>
        </w:numPr>
        <w:tabs>
          <w:tab w:val="clear" w:pos="907"/>
        </w:tabs>
        <w:overflowPunct/>
        <w:autoSpaceDE/>
        <w:autoSpaceDN/>
        <w:adjustRightInd/>
        <w:spacing w:after="420"/>
        <w:textAlignment w:val="auto"/>
        <w:rPr>
          <w:rtl/>
        </w:rPr>
      </w:pPr>
      <w:r>
        <w:rPr>
          <w:rFonts w:hint="cs"/>
          <w:rtl/>
        </w:rPr>
        <w:t>במרוצת השנים, נקבע</w:t>
      </w:r>
      <w:r w:rsidR="004607A8">
        <w:rPr>
          <w:rFonts w:hint="cs"/>
          <w:rtl/>
        </w:rPr>
        <w:t xml:space="preserve"> כי </w:t>
      </w:r>
      <w:r w:rsidR="001B0AFB">
        <w:rPr>
          <w:rFonts w:hint="cs"/>
          <w:rtl/>
        </w:rPr>
        <w:t>להפרת מגבלות הדין עלולות להיות השלכות במישור הראייתי</w:t>
      </w:r>
      <w:r w:rsidR="00CA5A39">
        <w:rPr>
          <w:rFonts w:hint="cs"/>
          <w:rtl/>
        </w:rPr>
        <w:t xml:space="preserve"> בדמותו של כלל הפסילה</w:t>
      </w:r>
      <w:r w:rsidR="001B0AFB">
        <w:rPr>
          <w:rFonts w:hint="cs"/>
          <w:rtl/>
        </w:rPr>
        <w:t xml:space="preserve">. </w:t>
      </w:r>
      <w:r w:rsidR="00B05B46" w:rsidRPr="006C1290">
        <w:rPr>
          <w:rtl/>
        </w:rPr>
        <w:t>במקרים שבהם בוצע חיפוש שלא כדין –</w:t>
      </w:r>
      <w:r w:rsidR="00743B29">
        <w:rPr>
          <w:rFonts w:hint="cs"/>
          <w:rtl/>
        </w:rPr>
        <w:t xml:space="preserve"> </w:t>
      </w:r>
      <w:r w:rsidR="00B05B46" w:rsidRPr="006C1290">
        <w:rPr>
          <w:rtl/>
        </w:rPr>
        <w:t xml:space="preserve">הדבר </w:t>
      </w:r>
      <w:r w:rsidR="009E1BD2">
        <w:rPr>
          <w:rFonts w:hint="cs"/>
          <w:rtl/>
        </w:rPr>
        <w:t>עלול</w:t>
      </w:r>
      <w:r w:rsidR="00B05B46" w:rsidRPr="006C1290">
        <w:rPr>
          <w:rtl/>
        </w:rPr>
        <w:t xml:space="preserve"> למנוע את השימוש</w:t>
      </w:r>
      <w:r w:rsidR="00325F79">
        <w:rPr>
          <w:rtl/>
        </w:rPr>
        <w:t xml:space="preserve"> בתוצרי החיפוש כראיה בבית משפט</w:t>
      </w:r>
      <w:r w:rsidR="00325F79">
        <w:rPr>
          <w:rFonts w:hint="cs"/>
          <w:rtl/>
        </w:rPr>
        <w:t>, כפי שנקבע בעבר בפסיקה, וכעת מעוגן בסעיף 56א ל</w:t>
      </w:r>
      <w:r w:rsidR="00325F79" w:rsidRPr="00325F79">
        <w:rPr>
          <w:rtl/>
        </w:rPr>
        <w:t xml:space="preserve">פקודת הראיות [נוסח חדש], </w:t>
      </w:r>
      <w:r w:rsidR="00325F79">
        <w:rPr>
          <w:rFonts w:hint="cs"/>
          <w:rtl/>
        </w:rPr>
        <w:t>ה</w:t>
      </w:r>
      <w:r w:rsidR="00325F79" w:rsidRPr="00325F79">
        <w:rPr>
          <w:rtl/>
        </w:rPr>
        <w:t>תשל"א-1971</w:t>
      </w:r>
      <w:r w:rsidR="00325F79" w:rsidRPr="00325F79">
        <w:rPr>
          <w:rFonts w:hint="cs"/>
          <w:rtl/>
        </w:rPr>
        <w:t xml:space="preserve"> (</w:t>
      </w:r>
      <w:r w:rsidR="000E36BB">
        <w:rPr>
          <w:rFonts w:hint="cs"/>
          <w:rtl/>
        </w:rPr>
        <w:t xml:space="preserve">להלן: </w:t>
      </w:r>
      <w:r w:rsidR="000E36BB" w:rsidRPr="000E36BB">
        <w:rPr>
          <w:rFonts w:ascii="Century" w:hAnsi="Century" w:cs="Miriam" w:hint="cs"/>
          <w:b/>
          <w:spacing w:val="0"/>
          <w:sz w:val="22"/>
          <w:szCs w:val="24"/>
          <w:rtl/>
        </w:rPr>
        <w:t>פקודת הראיות</w:t>
      </w:r>
      <w:r>
        <w:rPr>
          <w:rFonts w:hint="cs"/>
          <w:rtl/>
        </w:rPr>
        <w:t xml:space="preserve">; </w:t>
      </w:r>
      <w:r w:rsidR="00325F79" w:rsidRPr="00325F79">
        <w:rPr>
          <w:rFonts w:hint="cs"/>
          <w:rtl/>
        </w:rPr>
        <w:t xml:space="preserve">ראו גם: </w:t>
      </w:r>
      <w:r w:rsidR="00325F79" w:rsidRPr="00325F79">
        <w:rPr>
          <w:rtl/>
        </w:rPr>
        <w:t xml:space="preserve">ע"פ 3992/22 </w:t>
      </w:r>
      <w:proofErr w:type="spellStart"/>
      <w:r w:rsidR="00325F79" w:rsidRPr="00325F79">
        <w:rPr>
          <w:rFonts w:ascii="Century" w:hAnsi="Century" w:cs="Miriam"/>
          <w:b/>
          <w:spacing w:val="0"/>
          <w:sz w:val="22"/>
          <w:szCs w:val="24"/>
          <w:rtl/>
        </w:rPr>
        <w:t>ותד</w:t>
      </w:r>
      <w:proofErr w:type="spellEnd"/>
      <w:r w:rsidR="00325F79" w:rsidRPr="00325F79">
        <w:rPr>
          <w:rFonts w:ascii="Century" w:hAnsi="Century" w:cs="Miriam"/>
          <w:b/>
          <w:spacing w:val="0"/>
          <w:sz w:val="22"/>
          <w:szCs w:val="24"/>
          <w:rtl/>
        </w:rPr>
        <w:t xml:space="preserve"> נ' מדינת ישראל</w:t>
      </w:r>
      <w:r w:rsidR="00325F79" w:rsidRPr="00325F79">
        <w:rPr>
          <w:rFonts w:hint="cs"/>
          <w:rtl/>
        </w:rPr>
        <w:t xml:space="preserve">, פסקה 32 </w:t>
      </w:r>
      <w:r w:rsidR="00325F79" w:rsidRPr="00325F79">
        <w:rPr>
          <w:rtl/>
        </w:rPr>
        <w:t>(</w:t>
      </w:r>
      <w:r w:rsidR="00325F79" w:rsidRPr="00325F79">
        <w:rPr>
          <w:rFonts w:hint="cs"/>
          <w:rtl/>
        </w:rPr>
        <w:t>7</w:t>
      </w:r>
      <w:r w:rsidR="00325F79" w:rsidRPr="00325F79">
        <w:rPr>
          <w:rtl/>
        </w:rPr>
        <w:t>.</w:t>
      </w:r>
      <w:r w:rsidR="00325F79" w:rsidRPr="00325F79">
        <w:rPr>
          <w:rFonts w:hint="cs"/>
          <w:rtl/>
        </w:rPr>
        <w:t>5</w:t>
      </w:r>
      <w:r w:rsidR="00325F79" w:rsidRPr="00325F79">
        <w:rPr>
          <w:rtl/>
        </w:rPr>
        <w:t>.2023)</w:t>
      </w:r>
      <w:r w:rsidR="00325F79">
        <w:rPr>
          <w:rFonts w:hint="cs"/>
          <w:rtl/>
        </w:rPr>
        <w:t xml:space="preserve">). </w:t>
      </w:r>
    </w:p>
    <w:p w:rsidR="00377BF0" w:rsidRDefault="001B0AFB" w:rsidP="00FE4756">
      <w:pPr>
        <w:pStyle w:val="Ruller41"/>
        <w:numPr>
          <w:ilvl w:val="0"/>
          <w:numId w:val="11"/>
        </w:numPr>
        <w:overflowPunct/>
        <w:autoSpaceDE/>
        <w:autoSpaceDN/>
        <w:adjustRightInd/>
        <w:spacing w:after="420"/>
        <w:textAlignment w:val="auto"/>
        <w:rPr>
          <w:rtl/>
        </w:rPr>
      </w:pPr>
      <w:r>
        <w:rPr>
          <w:rFonts w:hint="cs"/>
          <w:rtl/>
        </w:rPr>
        <w:t xml:space="preserve">על בסיס עקרונות אלו, יש לקרוא את דברי החקיקה הרלוונטיים. </w:t>
      </w:r>
      <w:r w:rsidR="009F20EC">
        <w:rPr>
          <w:rFonts w:hint="cs"/>
          <w:rtl/>
        </w:rPr>
        <w:t xml:space="preserve">הפרק השלישי לפקודה עוסק בסמכות </w:t>
      </w:r>
      <w:r w:rsidR="00FE4756">
        <w:rPr>
          <w:rFonts w:hint="cs"/>
          <w:rtl/>
        </w:rPr>
        <w:t>ה</w:t>
      </w:r>
      <w:r w:rsidR="009F20EC">
        <w:rPr>
          <w:rFonts w:hint="cs"/>
          <w:rtl/>
        </w:rPr>
        <w:t>חיפוש</w:t>
      </w:r>
      <w:r w:rsidR="000E36BB">
        <w:rPr>
          <w:rFonts w:hint="cs"/>
          <w:rtl/>
        </w:rPr>
        <w:t>, היק</w:t>
      </w:r>
      <w:r w:rsidR="00BC49C7">
        <w:rPr>
          <w:rFonts w:hint="cs"/>
          <w:rtl/>
        </w:rPr>
        <w:t>פה</w:t>
      </w:r>
      <w:r w:rsidR="009F20EC">
        <w:rPr>
          <w:rFonts w:hint="cs"/>
          <w:rtl/>
        </w:rPr>
        <w:t xml:space="preserve"> ו</w:t>
      </w:r>
      <w:r w:rsidR="00A77717">
        <w:rPr>
          <w:rFonts w:hint="cs"/>
          <w:rtl/>
        </w:rPr>
        <w:t>ב</w:t>
      </w:r>
      <w:r w:rsidR="009F20EC">
        <w:rPr>
          <w:rFonts w:hint="cs"/>
          <w:rtl/>
        </w:rPr>
        <w:t>אופן ביצועו</w:t>
      </w:r>
      <w:r w:rsidR="00FF1933">
        <w:rPr>
          <w:rFonts w:hint="cs"/>
          <w:rtl/>
        </w:rPr>
        <w:t xml:space="preserve">. </w:t>
      </w:r>
      <w:r w:rsidR="00A462B4">
        <w:rPr>
          <w:rFonts w:hint="cs"/>
          <w:rtl/>
        </w:rPr>
        <w:t>חי</w:t>
      </w:r>
      <w:r w:rsidR="009F20EC">
        <w:rPr>
          <w:rFonts w:hint="cs"/>
          <w:rtl/>
        </w:rPr>
        <w:t xml:space="preserve">פוש בחצרים יכול להתבצע על פי צו </w:t>
      </w:r>
      <w:r w:rsidR="009F20EC">
        <w:rPr>
          <w:rtl/>
        </w:rPr>
        <w:t>–</w:t>
      </w:r>
      <w:r w:rsidR="009F20EC">
        <w:rPr>
          <w:rFonts w:hint="cs"/>
          <w:rtl/>
        </w:rPr>
        <w:t xml:space="preserve"> לפי סעיף 23 לפקודה;</w:t>
      </w:r>
      <w:r w:rsidR="00A462B4">
        <w:rPr>
          <w:rFonts w:hint="cs"/>
          <w:rtl/>
        </w:rPr>
        <w:t xml:space="preserve"> א</w:t>
      </w:r>
      <w:r w:rsidR="009F20EC">
        <w:rPr>
          <w:rFonts w:hint="cs"/>
          <w:rtl/>
        </w:rPr>
        <w:t>ו שלא על פי צו, אך בנסיבות מוגדרות ומתוחמות (</w:t>
      </w:r>
      <w:r w:rsidR="00B1055A">
        <w:rPr>
          <w:rFonts w:hint="cs"/>
          <w:rtl/>
        </w:rPr>
        <w:t xml:space="preserve">לפי </w:t>
      </w:r>
      <w:r w:rsidR="009F20EC">
        <w:rPr>
          <w:rFonts w:hint="cs"/>
          <w:rtl/>
        </w:rPr>
        <w:t xml:space="preserve">סעיף 25 לפקודה). הסמכות הרלוונטית למקרה שלפנינו </w:t>
      </w:r>
      <w:r w:rsidR="00377BF0">
        <w:rPr>
          <w:rFonts w:hint="cs"/>
          <w:rtl/>
        </w:rPr>
        <w:t xml:space="preserve">מעוגנת בסעיף 23 </w:t>
      </w:r>
      <w:r w:rsidR="009F20EC">
        <w:rPr>
          <w:rFonts w:hint="cs"/>
          <w:rtl/>
        </w:rPr>
        <w:t>לפקודה, שזו לשונו</w:t>
      </w:r>
      <w:r w:rsidR="00377BF0">
        <w:rPr>
          <w:rFonts w:hint="cs"/>
          <w:rtl/>
        </w:rPr>
        <w:t>:</w:t>
      </w:r>
    </w:p>
    <w:p w:rsidR="00377BF0" w:rsidRPr="00377BF0" w:rsidRDefault="00377BF0" w:rsidP="00377BF0">
      <w:pPr>
        <w:pStyle w:val="Ruller5"/>
        <w:rPr>
          <w:rFonts w:ascii="Century" w:hAnsi="Century" w:cs="Miriam"/>
          <w:b/>
          <w:spacing w:val="0"/>
          <w:sz w:val="24"/>
          <w:szCs w:val="24"/>
          <w:rtl/>
        </w:rPr>
      </w:pPr>
      <w:r w:rsidRPr="00377BF0">
        <w:rPr>
          <w:rFonts w:ascii="Century" w:hAnsi="Century" w:cs="Miriam" w:hint="cs"/>
          <w:b/>
          <w:spacing w:val="0"/>
          <w:sz w:val="24"/>
          <w:szCs w:val="24"/>
          <w:rtl/>
        </w:rPr>
        <w:t>צווי חיפוש</w:t>
      </w:r>
    </w:p>
    <w:p w:rsidR="00377BF0" w:rsidRPr="00377BF0" w:rsidRDefault="00377BF0" w:rsidP="00377BF0">
      <w:pPr>
        <w:pStyle w:val="Ruller5"/>
        <w:rPr>
          <w:rFonts w:ascii="Century" w:hAnsi="Century" w:cs="Miriam"/>
          <w:b/>
          <w:spacing w:val="0"/>
          <w:szCs w:val="24"/>
          <w:rtl/>
        </w:rPr>
      </w:pPr>
    </w:p>
    <w:p w:rsidR="00377BF0" w:rsidRPr="00377BF0" w:rsidRDefault="00377BF0" w:rsidP="00377BF0">
      <w:pPr>
        <w:pStyle w:val="Ruller5"/>
        <w:rPr>
          <w:spacing w:val="0"/>
          <w:sz w:val="28"/>
        </w:rPr>
      </w:pPr>
      <w:r w:rsidRPr="00377BF0">
        <w:rPr>
          <w:rFonts w:hint="cs"/>
          <w:spacing w:val="0"/>
          <w:sz w:val="28"/>
          <w:rtl/>
        </w:rPr>
        <w:t xml:space="preserve">רשאי שופט </w:t>
      </w:r>
      <w:proofErr w:type="spellStart"/>
      <w:r w:rsidRPr="00377BF0">
        <w:rPr>
          <w:rFonts w:hint="cs"/>
          <w:spacing w:val="0"/>
          <w:sz w:val="28"/>
          <w:rtl/>
        </w:rPr>
        <w:t>ליתן</w:t>
      </w:r>
      <w:proofErr w:type="spellEnd"/>
      <w:r w:rsidRPr="00377BF0">
        <w:rPr>
          <w:rFonts w:hint="cs"/>
          <w:spacing w:val="0"/>
          <w:sz w:val="28"/>
          <w:rtl/>
        </w:rPr>
        <w:t xml:space="preserve"> צו לערוך חיפוש בכל בית או מקום (להלן – צו חיפוש) אם –</w:t>
      </w:r>
    </w:p>
    <w:p w:rsidR="00377BF0" w:rsidRPr="00377BF0" w:rsidRDefault="00377BF0" w:rsidP="00377BF0">
      <w:pPr>
        <w:pStyle w:val="Ruller5"/>
        <w:rPr>
          <w:spacing w:val="0"/>
          <w:sz w:val="28"/>
        </w:rPr>
      </w:pPr>
      <w:r w:rsidRPr="00377BF0">
        <w:rPr>
          <w:rFonts w:hint="cs"/>
          <w:spacing w:val="0"/>
          <w:sz w:val="28"/>
          <w:rtl/>
        </w:rPr>
        <w:t>(1)</w:t>
      </w:r>
      <w:r w:rsidRPr="00377BF0">
        <w:rPr>
          <w:rFonts w:hint="cs"/>
          <w:spacing w:val="0"/>
          <w:sz w:val="28"/>
          <w:rtl/>
        </w:rPr>
        <w:tab/>
        <w:t>החיפוש בו נחוץ כדי להבטיח הצגת חפץ לצורך כל חקירה, משפט או הליך אחר;</w:t>
      </w:r>
    </w:p>
    <w:p w:rsidR="00377BF0" w:rsidRPr="00377BF0" w:rsidRDefault="00377BF0" w:rsidP="00377BF0">
      <w:pPr>
        <w:pStyle w:val="Ruller5"/>
        <w:rPr>
          <w:spacing w:val="0"/>
          <w:sz w:val="28"/>
        </w:rPr>
      </w:pPr>
      <w:r w:rsidRPr="00377BF0">
        <w:rPr>
          <w:rFonts w:hint="cs"/>
          <w:spacing w:val="0"/>
          <w:sz w:val="28"/>
          <w:rtl/>
        </w:rPr>
        <w:t>(2)</w:t>
      </w:r>
      <w:r w:rsidRPr="00377BF0">
        <w:rPr>
          <w:rFonts w:hint="cs"/>
          <w:spacing w:val="0"/>
          <w:sz w:val="28"/>
          <w:rtl/>
        </w:rPr>
        <w:tab/>
        <w:t>יש לשופט יסוד להניח שהוא משמש להחסנתו או למכירתו של חפץ גנוב, או שנשמר בו או מוחסן בו חפץ שנעברה בו או לגביו עבירה, או ששימש, או מתכוונים להשתמש בו, למטרה לא-חוקית;</w:t>
      </w:r>
    </w:p>
    <w:p w:rsidR="00377BF0" w:rsidRPr="00377BF0" w:rsidRDefault="00377BF0" w:rsidP="00377BF0">
      <w:pPr>
        <w:pStyle w:val="Ruller5"/>
        <w:rPr>
          <w:spacing w:val="0"/>
          <w:sz w:val="28"/>
        </w:rPr>
      </w:pPr>
      <w:r w:rsidRPr="00377BF0">
        <w:rPr>
          <w:rFonts w:hint="cs"/>
          <w:spacing w:val="0"/>
          <w:sz w:val="28"/>
          <w:rtl/>
        </w:rPr>
        <w:t>(3)</w:t>
      </w:r>
      <w:r w:rsidRPr="00377BF0">
        <w:rPr>
          <w:rFonts w:hint="cs"/>
          <w:spacing w:val="0"/>
          <w:sz w:val="28"/>
          <w:rtl/>
        </w:rPr>
        <w:tab/>
        <w:t>יש לשופט יסוד להניח שנעברה עבירה או שמתכוונים לעבור עבירה נגד אדם הנמצא בו.</w:t>
      </w:r>
    </w:p>
    <w:p w:rsidR="00377BF0" w:rsidRDefault="00377BF0" w:rsidP="00377BF0">
      <w:pPr>
        <w:pStyle w:val="Ruller4"/>
        <w:rPr>
          <w:rtl/>
        </w:rPr>
      </w:pPr>
    </w:p>
    <w:p w:rsidR="00AF4D93" w:rsidRPr="00AF4D93" w:rsidRDefault="00AF4D93" w:rsidP="00AF4D93">
      <w:pPr>
        <w:pStyle w:val="Ruller41"/>
        <w:numPr>
          <w:ilvl w:val="0"/>
          <w:numId w:val="11"/>
        </w:numPr>
        <w:overflowPunct/>
        <w:autoSpaceDE/>
        <w:autoSpaceDN/>
        <w:adjustRightInd/>
        <w:spacing w:after="420"/>
        <w:textAlignment w:val="auto"/>
      </w:pPr>
      <w:r>
        <w:rPr>
          <w:rFonts w:hint="cs"/>
          <w:rtl/>
        </w:rPr>
        <w:t xml:space="preserve">באופן משלים, סעיף 24 לפקודה שעניינו "סמכות לפי צו חיפוש", מרחיב ומתאר, בין היתר, כי </w:t>
      </w:r>
      <w:r w:rsidRPr="00AF4D93">
        <w:rPr>
          <w:rFonts w:hint="cs"/>
          <w:rtl/>
        </w:rPr>
        <w:t xml:space="preserve">צו חיפוש ישמש אסמכתה </w:t>
      </w:r>
      <w:r>
        <w:rPr>
          <w:rFonts w:hint="cs"/>
          <w:rtl/>
        </w:rPr>
        <w:t xml:space="preserve">לשוטר </w:t>
      </w:r>
      <w:r w:rsidRPr="00AF4D93">
        <w:rPr>
          <w:rFonts w:hint="cs"/>
          <w:rtl/>
        </w:rPr>
        <w:t>לערוך חיפוש בבית או במקום לפי האמור בצו החיפוש ולתפוס כל חפץ הנחזה כמתואר בצו ולעשות בו כאמור בצו;</w:t>
      </w:r>
      <w:r>
        <w:rPr>
          <w:rFonts w:hint="cs"/>
          <w:rtl/>
        </w:rPr>
        <w:t xml:space="preserve"> </w:t>
      </w:r>
      <w:r w:rsidRPr="00AF4D93">
        <w:rPr>
          <w:rFonts w:hint="cs"/>
          <w:rtl/>
        </w:rPr>
        <w:t>לעצור כל אדם הנמצא בבית או במקום ונחזה כמי שיש לו, או שהי</w:t>
      </w:r>
      <w:r>
        <w:rPr>
          <w:rFonts w:hint="cs"/>
          <w:rtl/>
        </w:rPr>
        <w:t>י</w:t>
      </w:r>
      <w:r w:rsidRPr="00AF4D93">
        <w:rPr>
          <w:rFonts w:hint="cs"/>
          <w:rtl/>
        </w:rPr>
        <w:t>תה לו, יד בעבירה שנעברה, או שמתכ</w:t>
      </w:r>
      <w:r>
        <w:rPr>
          <w:rFonts w:hint="cs"/>
          <w:rtl/>
        </w:rPr>
        <w:t xml:space="preserve">וונים לעבור, באותו חפץ או לגביו (סעיף 24(א) לפקודה). סעיף 24(ב) לפקודה אף מקנה סמכות לעורך החיפוש, בנסיבות מסוימות, לתפוס חפץ שלא הוזכר בצו.   </w:t>
      </w:r>
    </w:p>
    <w:p w:rsidR="005D0160" w:rsidRDefault="00ED198E" w:rsidP="00630A6E">
      <w:pPr>
        <w:pStyle w:val="Ruller41"/>
        <w:numPr>
          <w:ilvl w:val="0"/>
          <w:numId w:val="11"/>
        </w:numPr>
        <w:overflowPunct/>
        <w:autoSpaceDE/>
        <w:autoSpaceDN/>
        <w:adjustRightInd/>
        <w:spacing w:after="420"/>
        <w:textAlignment w:val="auto"/>
      </w:pPr>
      <w:r>
        <w:rPr>
          <w:rFonts w:hint="cs"/>
          <w:rtl/>
        </w:rPr>
        <w:t>צווי חיפוש</w:t>
      </w:r>
      <w:r w:rsidR="00A462B4">
        <w:rPr>
          <w:rFonts w:hint="cs"/>
          <w:rtl/>
        </w:rPr>
        <w:t xml:space="preserve"> </w:t>
      </w:r>
      <w:r>
        <w:rPr>
          <w:rFonts w:hint="cs"/>
          <w:rtl/>
        </w:rPr>
        <w:t xml:space="preserve">לפי סעיף </w:t>
      </w:r>
      <w:r w:rsidR="00AF4D93">
        <w:rPr>
          <w:rFonts w:hint="cs"/>
          <w:rtl/>
        </w:rPr>
        <w:t>23</w:t>
      </w:r>
      <w:r>
        <w:rPr>
          <w:rFonts w:hint="cs"/>
          <w:rtl/>
        </w:rPr>
        <w:t xml:space="preserve"> </w:t>
      </w:r>
      <w:r w:rsidR="00AF4D93">
        <w:rPr>
          <w:rFonts w:hint="cs"/>
          <w:rtl/>
        </w:rPr>
        <w:t xml:space="preserve">לפקודה </w:t>
      </w:r>
      <w:r w:rsidR="00A462B4">
        <w:rPr>
          <w:rFonts w:hint="cs"/>
          <w:rtl/>
        </w:rPr>
        <w:t xml:space="preserve">מתבקשים, וניתנים, על פי רוב, במעמד צד אחד. </w:t>
      </w:r>
      <w:r w:rsidR="009F20EC">
        <w:rPr>
          <w:rFonts w:hint="cs"/>
          <w:rtl/>
        </w:rPr>
        <w:t>המשמעות</w:t>
      </w:r>
      <w:r w:rsidR="001B0AFB">
        <w:rPr>
          <w:rFonts w:hint="cs"/>
          <w:rtl/>
        </w:rPr>
        <w:t xml:space="preserve"> המעשית של כך,</w:t>
      </w:r>
      <w:r w:rsidR="009F20EC">
        <w:rPr>
          <w:rFonts w:hint="cs"/>
          <w:rtl/>
        </w:rPr>
        <w:t xml:space="preserve"> היא ש</w:t>
      </w:r>
      <w:r w:rsidR="00A462B4">
        <w:rPr>
          <w:rFonts w:hint="cs"/>
          <w:rtl/>
        </w:rPr>
        <w:t>אל מול עמדת המשטרה ו</w:t>
      </w:r>
      <w:r w:rsidR="009F20EC">
        <w:rPr>
          <w:rFonts w:hint="cs"/>
          <w:rtl/>
        </w:rPr>
        <w:t xml:space="preserve">טיעוני </w:t>
      </w:r>
      <w:r w:rsidR="00A462B4">
        <w:rPr>
          <w:rFonts w:hint="cs"/>
          <w:rtl/>
        </w:rPr>
        <w:t xml:space="preserve">בקשתה, לא ניצב סניגור </w:t>
      </w:r>
      <w:r w:rsidR="00E537FE">
        <w:rPr>
          <w:rFonts w:hint="cs"/>
          <w:rtl/>
        </w:rPr>
        <w:t>לטעון בשם האדם</w:t>
      </w:r>
      <w:r w:rsidR="00FA2B41">
        <w:rPr>
          <w:rFonts w:hint="cs"/>
          <w:rtl/>
        </w:rPr>
        <w:t xml:space="preserve"> הרלוונטי שמבוקש לחדור </w:t>
      </w:r>
      <w:proofErr w:type="spellStart"/>
      <w:r w:rsidR="00FA2B41">
        <w:rPr>
          <w:rFonts w:hint="cs"/>
          <w:rtl/>
        </w:rPr>
        <w:t>לחצריו</w:t>
      </w:r>
      <w:proofErr w:type="spellEnd"/>
      <w:r w:rsidR="001B0AFB">
        <w:rPr>
          <w:rFonts w:hint="cs"/>
          <w:rtl/>
        </w:rPr>
        <w:t xml:space="preserve">. גם עמדתם של </w:t>
      </w:r>
      <w:r w:rsidR="00E537FE">
        <w:rPr>
          <w:rFonts w:hint="cs"/>
          <w:rtl/>
        </w:rPr>
        <w:t>צדדים שלישיים אשר עלולים להיפגע ממימוש צו החיפוש</w:t>
      </w:r>
      <w:r w:rsidR="001B0AFB">
        <w:rPr>
          <w:rFonts w:hint="cs"/>
          <w:rtl/>
        </w:rPr>
        <w:t xml:space="preserve"> אינה נשמעת</w:t>
      </w:r>
      <w:r w:rsidR="005D0160">
        <w:rPr>
          <w:rFonts w:hint="cs"/>
          <w:rtl/>
        </w:rPr>
        <w:t xml:space="preserve"> (</w:t>
      </w:r>
      <w:r w:rsidR="00B05B46">
        <w:rPr>
          <w:rFonts w:hint="cs"/>
          <w:rtl/>
        </w:rPr>
        <w:t xml:space="preserve">יעקב קדמי </w:t>
      </w:r>
      <w:r w:rsidR="00630A6E" w:rsidRPr="00630A6E">
        <w:rPr>
          <w:rFonts w:ascii="Century" w:hAnsi="Century" w:cs="Miriam"/>
          <w:b/>
          <w:spacing w:val="0"/>
          <w:sz w:val="22"/>
          <w:szCs w:val="24"/>
          <w:rtl/>
        </w:rPr>
        <w:t>על סדר הדין בפלילים</w:t>
      </w:r>
      <w:r w:rsidR="00630A6E">
        <w:rPr>
          <w:rFonts w:ascii="Century" w:hAnsi="Century" w:cs="Miriam" w:hint="cs"/>
          <w:b/>
          <w:spacing w:val="0"/>
          <w:sz w:val="22"/>
          <w:szCs w:val="24"/>
          <w:rtl/>
        </w:rPr>
        <w:t xml:space="preserve">: </w:t>
      </w:r>
      <w:r w:rsidR="00630A6E" w:rsidRPr="00630A6E">
        <w:rPr>
          <w:rFonts w:ascii="Century" w:hAnsi="Century" w:cs="Miriam"/>
          <w:b/>
          <w:spacing w:val="0"/>
          <w:sz w:val="22"/>
          <w:szCs w:val="24"/>
          <w:rtl/>
        </w:rPr>
        <w:t>חלק ראשון – הליכים שלפני משפט</w:t>
      </w:r>
      <w:r w:rsidR="00630A6E" w:rsidRPr="00630A6E">
        <w:rPr>
          <w:rFonts w:ascii="Miriam" w:hAnsi="Miriam" w:cs="Miriam"/>
          <w:color w:val="000000"/>
          <w:rtl/>
        </w:rPr>
        <w:t> </w:t>
      </w:r>
      <w:r w:rsidR="00630A6E">
        <w:rPr>
          <w:rFonts w:ascii="FrankRuehl" w:hAnsi="FrankRuehl"/>
          <w:color w:val="000000"/>
          <w:sz w:val="28"/>
          <w:rtl/>
        </w:rPr>
        <w:t>כרך ב </w:t>
      </w:r>
      <w:r w:rsidR="00B05B46">
        <w:rPr>
          <w:rFonts w:hint="cs"/>
          <w:rtl/>
        </w:rPr>
        <w:t>679 (</w:t>
      </w:r>
      <w:r w:rsidR="00B05B46" w:rsidRPr="009F20EC">
        <w:rPr>
          <w:rFonts w:hint="cs"/>
          <w:rtl/>
        </w:rPr>
        <w:t>2008)</w:t>
      </w:r>
      <w:r w:rsidR="00B53CA0">
        <w:rPr>
          <w:rFonts w:hint="cs"/>
          <w:rtl/>
        </w:rPr>
        <w:t xml:space="preserve"> (להלן: </w:t>
      </w:r>
      <w:r w:rsidR="00B53CA0" w:rsidRPr="00B53CA0">
        <w:rPr>
          <w:rFonts w:ascii="Century" w:hAnsi="Century" w:cs="Miriam" w:hint="cs"/>
          <w:b/>
          <w:spacing w:val="0"/>
          <w:sz w:val="22"/>
          <w:szCs w:val="24"/>
          <w:rtl/>
        </w:rPr>
        <w:t>קדמי</w:t>
      </w:r>
      <w:r w:rsidR="00B53CA0">
        <w:rPr>
          <w:rFonts w:hint="cs"/>
          <w:rtl/>
        </w:rPr>
        <w:t>)</w:t>
      </w:r>
      <w:r w:rsidR="00B05B46" w:rsidRPr="009F20EC">
        <w:rPr>
          <w:rFonts w:hint="cs"/>
          <w:rtl/>
        </w:rPr>
        <w:t xml:space="preserve">; </w:t>
      </w:r>
      <w:r w:rsidR="005D0160" w:rsidRPr="009F20EC">
        <w:rPr>
          <w:rtl/>
        </w:rPr>
        <w:t>עמיקם הרפז ומרים גולן</w:t>
      </w:r>
      <w:r w:rsidR="005D0160" w:rsidRPr="00412605">
        <w:rPr>
          <w:rtl/>
        </w:rPr>
        <w:t xml:space="preserve"> </w:t>
      </w:r>
      <w:r w:rsidR="005D0160" w:rsidRPr="00412605">
        <w:rPr>
          <w:rFonts w:ascii="Century" w:hAnsi="Century" w:cs="Miriam"/>
          <w:b/>
          <w:spacing w:val="0"/>
          <w:sz w:val="22"/>
          <w:szCs w:val="24"/>
          <w:rtl/>
        </w:rPr>
        <w:t>משפט ושיטור: זכויות אדם וסמכויות משטרה</w:t>
      </w:r>
      <w:r w:rsidR="005D0160" w:rsidRPr="00412605">
        <w:rPr>
          <w:rtl/>
        </w:rPr>
        <w:t xml:space="preserve"> </w:t>
      </w:r>
      <w:r w:rsidR="005D0160" w:rsidRPr="009F20EC">
        <w:rPr>
          <w:rFonts w:hint="cs"/>
          <w:rtl/>
        </w:rPr>
        <w:t>174 (2018))</w:t>
      </w:r>
      <w:r w:rsidR="00A462B4" w:rsidRPr="009F20EC">
        <w:rPr>
          <w:rFonts w:hint="cs"/>
          <w:rtl/>
        </w:rPr>
        <w:t xml:space="preserve">. </w:t>
      </w:r>
      <w:r w:rsidR="00BC49C7">
        <w:rPr>
          <w:rFonts w:hint="cs"/>
          <w:rtl/>
        </w:rPr>
        <w:t>מתכונת דיונית זו היא</w:t>
      </w:r>
      <w:r w:rsidR="00FA2B41" w:rsidRPr="009F20EC">
        <w:rPr>
          <w:rFonts w:hint="cs"/>
          <w:rtl/>
        </w:rPr>
        <w:t>, פעמים רבות, כורח המציאות</w:t>
      </w:r>
      <w:r w:rsidR="00FF1933" w:rsidRPr="009F20EC">
        <w:rPr>
          <w:rFonts w:hint="cs"/>
          <w:rtl/>
        </w:rPr>
        <w:t xml:space="preserve"> של צרכי החקירה</w:t>
      </w:r>
      <w:r w:rsidR="00FA2B41" w:rsidRPr="009F20EC">
        <w:rPr>
          <w:rFonts w:hint="cs"/>
          <w:rtl/>
        </w:rPr>
        <w:t xml:space="preserve">. </w:t>
      </w:r>
      <w:r w:rsidR="001B0AFB">
        <w:rPr>
          <w:rFonts w:hint="cs"/>
          <w:rtl/>
        </w:rPr>
        <w:t>בכל זאת</w:t>
      </w:r>
      <w:r w:rsidR="00A462B4" w:rsidRPr="009F20EC">
        <w:rPr>
          <w:rFonts w:hint="cs"/>
          <w:rtl/>
        </w:rPr>
        <w:t xml:space="preserve">, </w:t>
      </w:r>
      <w:r w:rsidR="001B0AFB">
        <w:rPr>
          <w:rFonts w:hint="cs"/>
          <w:rtl/>
        </w:rPr>
        <w:t xml:space="preserve">יש בה כדי </w:t>
      </w:r>
      <w:r w:rsidR="00B53CA0">
        <w:rPr>
          <w:rFonts w:hint="cs"/>
          <w:rtl/>
        </w:rPr>
        <w:t>להקים</w:t>
      </w:r>
      <w:r w:rsidR="00A462B4" w:rsidRPr="009F20EC">
        <w:rPr>
          <w:rFonts w:hint="cs"/>
          <w:rtl/>
        </w:rPr>
        <w:t xml:space="preserve"> חשש </w:t>
      </w:r>
      <w:r w:rsidR="00B53CA0">
        <w:rPr>
          <w:rFonts w:hint="cs"/>
          <w:rtl/>
        </w:rPr>
        <w:t xml:space="preserve">משמעותי </w:t>
      </w:r>
      <w:r w:rsidR="001B0AFB">
        <w:rPr>
          <w:rFonts w:hint="cs"/>
          <w:rtl/>
        </w:rPr>
        <w:t>ש</w:t>
      </w:r>
      <w:r w:rsidR="00A462B4" w:rsidRPr="009F20EC">
        <w:rPr>
          <w:rFonts w:hint="cs"/>
          <w:rtl/>
        </w:rPr>
        <w:t xml:space="preserve">במעמד זה </w:t>
      </w:r>
      <w:r w:rsidR="0025316E">
        <w:rPr>
          <w:rFonts w:hint="cs"/>
          <w:rtl/>
        </w:rPr>
        <w:t>תיפגענה</w:t>
      </w:r>
      <w:r w:rsidR="00A462B4" w:rsidRPr="009F20EC">
        <w:rPr>
          <w:rFonts w:hint="cs"/>
          <w:rtl/>
        </w:rPr>
        <w:t xml:space="preserve"> זכויות </w:t>
      </w:r>
      <w:r w:rsidR="0025316E">
        <w:rPr>
          <w:rFonts w:hint="cs"/>
          <w:rtl/>
        </w:rPr>
        <w:t xml:space="preserve">של </w:t>
      </w:r>
      <w:r w:rsidR="00462435">
        <w:rPr>
          <w:rFonts w:hint="cs"/>
          <w:rtl/>
        </w:rPr>
        <w:t xml:space="preserve">האדם </w:t>
      </w:r>
      <w:r w:rsidR="00B53CA0">
        <w:rPr>
          <w:rFonts w:hint="cs"/>
          <w:rtl/>
        </w:rPr>
        <w:t>מושא הצו ו</w:t>
      </w:r>
      <w:r w:rsidR="0025316E">
        <w:rPr>
          <w:rFonts w:hint="cs"/>
          <w:rtl/>
        </w:rPr>
        <w:t xml:space="preserve">של </w:t>
      </w:r>
      <w:r w:rsidR="00B53CA0">
        <w:rPr>
          <w:rFonts w:hint="cs"/>
          <w:rtl/>
        </w:rPr>
        <w:t xml:space="preserve">צדדים שלישיים </w:t>
      </w:r>
      <w:r w:rsidR="0025316E">
        <w:rPr>
          <w:rFonts w:hint="cs"/>
          <w:rtl/>
        </w:rPr>
        <w:t>במידה העולה על הנדרש</w:t>
      </w:r>
      <w:r w:rsidR="00FA2B41" w:rsidRPr="009F20EC">
        <w:rPr>
          <w:rFonts w:hint="cs"/>
          <w:rtl/>
        </w:rPr>
        <w:t>.</w:t>
      </w:r>
      <w:r w:rsidR="00FF1933" w:rsidRPr="009F20EC">
        <w:rPr>
          <w:rFonts w:hint="cs"/>
          <w:rtl/>
        </w:rPr>
        <w:t xml:space="preserve"> מכאן ההקפדה המתחייבת על </w:t>
      </w:r>
      <w:r w:rsidR="001B0AFB">
        <w:rPr>
          <w:rFonts w:hint="cs"/>
          <w:rtl/>
        </w:rPr>
        <w:t>הליך</w:t>
      </w:r>
      <w:r w:rsidR="00FF1933" w:rsidRPr="009F20EC">
        <w:rPr>
          <w:rFonts w:hint="cs"/>
          <w:rtl/>
        </w:rPr>
        <w:t xml:space="preserve"> הוצאת הצו, דיוק פרטיו ואופן </w:t>
      </w:r>
      <w:r w:rsidR="009F20EC">
        <w:rPr>
          <w:rFonts w:hint="cs"/>
          <w:rtl/>
        </w:rPr>
        <w:t>ביצועו</w:t>
      </w:r>
      <w:r w:rsidR="00FF1933" w:rsidRPr="009F20EC">
        <w:rPr>
          <w:rFonts w:hint="cs"/>
          <w:rtl/>
        </w:rPr>
        <w:t>.</w:t>
      </w:r>
      <w:r w:rsidR="00FF1933">
        <w:rPr>
          <w:rFonts w:hint="cs"/>
          <w:rtl/>
        </w:rPr>
        <w:t xml:space="preserve"> </w:t>
      </w:r>
    </w:p>
    <w:p w:rsidR="00B41A93" w:rsidRPr="00E20E2B" w:rsidRDefault="00031409" w:rsidP="00B206D4">
      <w:pPr>
        <w:pStyle w:val="Ruller41"/>
        <w:numPr>
          <w:ilvl w:val="0"/>
          <w:numId w:val="11"/>
        </w:numPr>
        <w:overflowPunct/>
        <w:autoSpaceDE/>
        <w:autoSpaceDN/>
        <w:adjustRightInd/>
        <w:spacing w:after="420"/>
        <w:textAlignment w:val="auto"/>
      </w:pPr>
      <w:r>
        <w:rPr>
          <w:rFonts w:hint="cs"/>
          <w:rtl/>
        </w:rPr>
        <w:t xml:space="preserve">היבט זה בא לידי ביטוי </w:t>
      </w:r>
      <w:r w:rsidR="005D0160">
        <w:rPr>
          <w:rFonts w:hint="cs"/>
          <w:rtl/>
        </w:rPr>
        <w:t>גם בהחלטות נציבות תלונות הציבור על שופטים, ש</w:t>
      </w:r>
      <w:r w:rsidR="00ED198E">
        <w:rPr>
          <w:rFonts w:hint="cs"/>
          <w:rtl/>
        </w:rPr>
        <w:t xml:space="preserve">גם </w:t>
      </w:r>
      <w:r w:rsidR="0025316E">
        <w:rPr>
          <w:rFonts w:hint="cs"/>
          <w:rtl/>
        </w:rPr>
        <w:t>בהן הודגשה</w:t>
      </w:r>
      <w:r w:rsidR="005D0160">
        <w:rPr>
          <w:rFonts w:hint="cs"/>
          <w:rtl/>
        </w:rPr>
        <w:t xml:space="preserve"> חשיבות ההקפדה על הוצ</w:t>
      </w:r>
      <w:r w:rsidR="004607A8">
        <w:rPr>
          <w:rFonts w:hint="cs"/>
          <w:rtl/>
        </w:rPr>
        <w:t xml:space="preserve">את צווי חיפוש מלאים בהתאם לדין, וזאת, בין היתר, </w:t>
      </w:r>
      <w:r w:rsidR="005D0160">
        <w:rPr>
          <w:rFonts w:hint="cs"/>
          <w:rtl/>
        </w:rPr>
        <w:t>על מנת שלא ליצור תחושה כי ההחלטה על מתן הצו ניתנה כלאחר יד</w:t>
      </w:r>
      <w:r w:rsidR="00136CDA">
        <w:rPr>
          <w:rFonts w:hint="cs"/>
          <w:rtl/>
        </w:rPr>
        <w:t xml:space="preserve"> </w:t>
      </w:r>
      <w:r w:rsidR="005D0160">
        <w:rPr>
          <w:rFonts w:hint="cs"/>
          <w:rtl/>
        </w:rPr>
        <w:t>(</w:t>
      </w:r>
      <w:r w:rsidR="005D0160" w:rsidRPr="005D0160">
        <w:rPr>
          <w:rFonts w:ascii="Century" w:hAnsi="Century" w:cs="Miriam"/>
          <w:b/>
          <w:spacing w:val="0"/>
          <w:sz w:val="22"/>
          <w:szCs w:val="24"/>
          <w:rtl/>
        </w:rPr>
        <w:t>ריכוז החלטות וחוות דעת נציבות תלונות הציבור על שופטים</w:t>
      </w:r>
      <w:r w:rsidR="005D0160">
        <w:rPr>
          <w:rFonts w:ascii="FrankRuehl" w:hAnsi="FrankRuehl" w:hint="cs"/>
          <w:color w:val="000000"/>
          <w:sz w:val="28"/>
          <w:rtl/>
        </w:rPr>
        <w:t>,</w:t>
      </w:r>
      <w:r w:rsidR="005D0160">
        <w:rPr>
          <w:rFonts w:ascii="FrankRuehl" w:hAnsi="FrankRuehl"/>
          <w:color w:val="000000"/>
          <w:sz w:val="28"/>
        </w:rPr>
        <w:t xml:space="preserve"> </w:t>
      </w:r>
      <w:r w:rsidR="005D0160">
        <w:rPr>
          <w:rFonts w:ascii="FrankRuehl" w:hAnsi="FrankRuehl"/>
          <w:color w:val="000000"/>
          <w:sz w:val="28"/>
          <w:rtl/>
        </w:rPr>
        <w:t xml:space="preserve">ירושלים </w:t>
      </w:r>
      <w:r w:rsidR="0025316E">
        <w:rPr>
          <w:rFonts w:ascii="FrankRuehl" w:hAnsi="FrankRuehl" w:hint="cs"/>
          <w:color w:val="000000"/>
          <w:sz w:val="28"/>
          <w:rtl/>
        </w:rPr>
        <w:t>ה</w:t>
      </w:r>
      <w:r w:rsidR="005D0160">
        <w:rPr>
          <w:rFonts w:ascii="FrankRuehl" w:hAnsi="FrankRuehl"/>
          <w:color w:val="000000"/>
          <w:sz w:val="28"/>
          <w:rtl/>
        </w:rPr>
        <w:t xml:space="preserve">תש"פ-2020, עמ' </w:t>
      </w:r>
      <w:r w:rsidR="00B206D4">
        <w:rPr>
          <w:rFonts w:ascii="FrankRuehl" w:hAnsi="FrankRuehl" w:hint="cs"/>
          <w:color w:val="000000"/>
          <w:sz w:val="28"/>
          <w:rtl/>
        </w:rPr>
        <w:t>115</w:t>
      </w:r>
      <w:r w:rsidR="005D0160">
        <w:rPr>
          <w:rFonts w:ascii="FrankRuehl" w:hAnsi="FrankRuehl" w:hint="cs"/>
          <w:color w:val="000000"/>
          <w:sz w:val="28"/>
          <w:rtl/>
        </w:rPr>
        <w:t>-</w:t>
      </w:r>
      <w:r w:rsidR="00B206D4">
        <w:rPr>
          <w:rFonts w:ascii="FrankRuehl" w:hAnsi="FrankRuehl" w:hint="cs"/>
          <w:color w:val="000000"/>
          <w:sz w:val="28"/>
          <w:rtl/>
        </w:rPr>
        <w:t>116</w:t>
      </w:r>
      <w:r w:rsidR="000E36BB">
        <w:rPr>
          <w:rFonts w:hint="cs"/>
          <w:rtl/>
        </w:rPr>
        <w:t xml:space="preserve"> (להלן: </w:t>
      </w:r>
      <w:r w:rsidR="000E36BB" w:rsidRPr="000E36BB">
        <w:rPr>
          <w:rFonts w:ascii="Century" w:hAnsi="Century" w:cs="Miriam" w:hint="cs"/>
          <w:b/>
          <w:spacing w:val="0"/>
          <w:sz w:val="22"/>
          <w:szCs w:val="24"/>
          <w:rtl/>
        </w:rPr>
        <w:t>ריכוז החלטות הנציבות</w:t>
      </w:r>
      <w:r w:rsidR="000E36BB">
        <w:rPr>
          <w:rFonts w:hint="cs"/>
          <w:rtl/>
        </w:rPr>
        <w:t>)</w:t>
      </w:r>
      <w:r w:rsidR="0025316E">
        <w:rPr>
          <w:rFonts w:hint="cs"/>
          <w:rtl/>
        </w:rPr>
        <w:t>)</w:t>
      </w:r>
      <w:r w:rsidR="000E36BB">
        <w:rPr>
          <w:rFonts w:hint="cs"/>
          <w:rtl/>
        </w:rPr>
        <w:t>.</w:t>
      </w:r>
      <w:r w:rsidR="009F20EC">
        <w:rPr>
          <w:rFonts w:hint="cs"/>
          <w:rtl/>
        </w:rPr>
        <w:t xml:space="preserve"> בדומה, </w:t>
      </w:r>
      <w:r w:rsidR="00B41A93">
        <w:rPr>
          <w:rFonts w:hint="cs"/>
          <w:rtl/>
        </w:rPr>
        <w:t>הנוהל הרלוונטי של משטרת ישראל</w:t>
      </w:r>
      <w:r w:rsidR="009F20EC">
        <w:rPr>
          <w:rFonts w:hint="cs"/>
          <w:rtl/>
        </w:rPr>
        <w:t xml:space="preserve"> </w:t>
      </w:r>
      <w:r w:rsidR="00B41A93">
        <w:rPr>
          <w:rFonts w:hint="cs"/>
          <w:rtl/>
        </w:rPr>
        <w:t xml:space="preserve">(נוהל </w:t>
      </w:r>
      <w:proofErr w:type="spellStart"/>
      <w:r w:rsidR="009F20EC">
        <w:rPr>
          <w:rFonts w:hint="cs"/>
          <w:rtl/>
        </w:rPr>
        <w:t>אח"מ</w:t>
      </w:r>
      <w:proofErr w:type="spellEnd"/>
      <w:r w:rsidR="009F20EC">
        <w:rPr>
          <w:rFonts w:hint="cs"/>
          <w:rtl/>
        </w:rPr>
        <w:t xml:space="preserve"> 300.01.066 בקשה להוצאת צו חיפוש </w:t>
      </w:r>
      <w:r w:rsidR="009F20EC">
        <w:rPr>
          <w:rtl/>
        </w:rPr>
        <w:t>–</w:t>
      </w:r>
      <w:r w:rsidR="009F20EC">
        <w:rPr>
          <w:rFonts w:hint="cs"/>
          <w:rtl/>
        </w:rPr>
        <w:t xml:space="preserve"> טופס מ-3097, סעיף </w:t>
      </w:r>
      <w:r w:rsidR="005557E1">
        <w:rPr>
          <w:rFonts w:hint="cs"/>
          <w:rtl/>
        </w:rPr>
        <w:t>3</w:t>
      </w:r>
      <w:r w:rsidR="009F20EC">
        <w:rPr>
          <w:rFonts w:hint="cs"/>
          <w:rtl/>
        </w:rPr>
        <w:t>א(3)</w:t>
      </w:r>
      <w:r w:rsidR="00593B9A">
        <w:rPr>
          <w:rFonts w:hint="cs"/>
          <w:rtl/>
        </w:rPr>
        <w:t xml:space="preserve"> (1.2.2014)</w:t>
      </w:r>
      <w:r w:rsidR="00B41A93">
        <w:rPr>
          <w:rFonts w:hint="cs"/>
          <w:rtl/>
        </w:rPr>
        <w:t>)</w:t>
      </w:r>
      <w:r w:rsidR="009F20EC">
        <w:rPr>
          <w:rFonts w:hint="cs"/>
          <w:rtl/>
        </w:rPr>
        <w:t xml:space="preserve"> קובע אף הוא כי על בקשה להוצאת צו חיפוש להיות "</w:t>
      </w:r>
      <w:r w:rsidR="009F20EC" w:rsidRPr="001B0AFB">
        <w:rPr>
          <w:rFonts w:ascii="Century" w:hAnsi="Century" w:cs="Miriam" w:hint="cs"/>
          <w:b/>
          <w:spacing w:val="0"/>
          <w:sz w:val="22"/>
          <w:szCs w:val="24"/>
          <w:rtl/>
        </w:rPr>
        <w:t>נכו</w:t>
      </w:r>
      <w:r w:rsidR="001B0AFB" w:rsidRPr="001B0AFB">
        <w:rPr>
          <w:rFonts w:ascii="Century" w:hAnsi="Century" w:cs="Miriam" w:hint="cs"/>
          <w:b/>
          <w:spacing w:val="0"/>
          <w:sz w:val="22"/>
          <w:szCs w:val="24"/>
          <w:rtl/>
        </w:rPr>
        <w:t>נה ומדו</w:t>
      </w:r>
      <w:r w:rsidR="009F20EC" w:rsidRPr="001B0AFB">
        <w:rPr>
          <w:rFonts w:ascii="Century" w:hAnsi="Century" w:cs="Miriam" w:hint="cs"/>
          <w:b/>
          <w:spacing w:val="0"/>
          <w:sz w:val="22"/>
          <w:szCs w:val="24"/>
          <w:rtl/>
        </w:rPr>
        <w:t>יקת</w:t>
      </w:r>
      <w:r w:rsidR="009F20EC">
        <w:rPr>
          <w:rFonts w:hint="cs"/>
          <w:rtl/>
        </w:rPr>
        <w:t>"; ומוסיף בדבר החובה לפרט בפני השופט "</w:t>
      </w:r>
      <w:r w:rsidR="009F20EC" w:rsidRPr="00B41A93">
        <w:rPr>
          <w:rFonts w:ascii="Century" w:hAnsi="Century" w:cs="Miriam" w:hint="cs"/>
          <w:b/>
          <w:spacing w:val="0"/>
          <w:sz w:val="22"/>
          <w:szCs w:val="24"/>
          <w:rtl/>
        </w:rPr>
        <w:t>ולהעמיד לביקורת שיפוטית את הראיות או המידע בגינו מבוקש החיפוש. ויש להימנע מניסוחים כלליים</w:t>
      </w:r>
      <w:r w:rsidR="009F20EC">
        <w:rPr>
          <w:rFonts w:hint="cs"/>
          <w:rtl/>
        </w:rPr>
        <w:t>"</w:t>
      </w:r>
      <w:r w:rsidR="00B41A93">
        <w:rPr>
          <w:rFonts w:hint="cs"/>
          <w:rtl/>
        </w:rPr>
        <w:t xml:space="preserve"> (שם, סעיף </w:t>
      </w:r>
      <w:r w:rsidR="005557E1">
        <w:rPr>
          <w:rFonts w:hint="cs"/>
          <w:rtl/>
        </w:rPr>
        <w:t>3א(4)</w:t>
      </w:r>
      <w:r w:rsidR="00B41A93">
        <w:rPr>
          <w:rFonts w:hint="cs"/>
          <w:rtl/>
        </w:rPr>
        <w:t>)</w:t>
      </w:r>
      <w:r w:rsidR="009F20EC">
        <w:rPr>
          <w:rFonts w:hint="cs"/>
          <w:rtl/>
        </w:rPr>
        <w:t>.</w:t>
      </w:r>
      <w:r w:rsidR="00E20E2B">
        <w:rPr>
          <w:rFonts w:hint="cs"/>
          <w:rtl/>
        </w:rPr>
        <w:t xml:space="preserve"> על מידת הדיוק הנדרש</w:t>
      </w:r>
      <w:r w:rsidR="0025316E">
        <w:rPr>
          <w:rFonts w:hint="cs"/>
          <w:rtl/>
        </w:rPr>
        <w:t>ת</w:t>
      </w:r>
      <w:r w:rsidR="00E20E2B">
        <w:rPr>
          <w:rFonts w:hint="cs"/>
          <w:rtl/>
        </w:rPr>
        <w:t xml:space="preserve"> בצווי החיפוש, ניתן ללמוד גם מקביעות הערכאות הדיוניות </w:t>
      </w:r>
      <w:r w:rsidR="0025316E">
        <w:rPr>
          <w:rFonts w:hint="cs"/>
          <w:rtl/>
        </w:rPr>
        <w:t xml:space="preserve">אשר </w:t>
      </w:r>
      <w:r w:rsidR="00E20E2B">
        <w:rPr>
          <w:rFonts w:hint="cs"/>
          <w:rtl/>
        </w:rPr>
        <w:t xml:space="preserve">מדי יום עוסקות בסוגיה </w:t>
      </w:r>
      <w:r w:rsidR="00E20E2B" w:rsidRPr="00E20E2B">
        <w:rPr>
          <w:rFonts w:hint="cs"/>
          <w:rtl/>
        </w:rPr>
        <w:t xml:space="preserve">זו (ראו למשל: </w:t>
      </w:r>
      <w:r w:rsidR="00E20E2B" w:rsidRPr="00E20E2B">
        <w:rPr>
          <w:rtl/>
        </w:rPr>
        <w:t>ת"פ (שלום ת"א) 6476-01-19 </w:t>
      </w:r>
      <w:r w:rsidR="00E20E2B" w:rsidRPr="005557E1">
        <w:rPr>
          <w:rFonts w:ascii="Century" w:hAnsi="Century" w:cs="Miriam"/>
          <w:b/>
          <w:spacing w:val="0"/>
          <w:sz w:val="22"/>
          <w:szCs w:val="24"/>
          <w:rtl/>
        </w:rPr>
        <w:t>מד</w:t>
      </w:r>
      <w:r w:rsidR="00E20E2B" w:rsidRPr="00E20E2B">
        <w:rPr>
          <w:rFonts w:ascii="Century" w:hAnsi="Century" w:cs="Miriam"/>
          <w:b/>
          <w:spacing w:val="0"/>
          <w:sz w:val="22"/>
          <w:szCs w:val="24"/>
          <w:rtl/>
        </w:rPr>
        <w:t>ינת ישראל נ' כהן</w:t>
      </w:r>
      <w:r w:rsidR="00E20E2B" w:rsidRPr="00E20E2B">
        <w:rPr>
          <w:rtl/>
        </w:rPr>
        <w:t> (</w:t>
      </w:r>
      <w:r w:rsidR="00E20E2B">
        <w:rPr>
          <w:rFonts w:hint="cs"/>
          <w:rtl/>
        </w:rPr>
        <w:t>3</w:t>
      </w:r>
      <w:r w:rsidR="00E20E2B" w:rsidRPr="00E20E2B">
        <w:rPr>
          <w:rtl/>
        </w:rPr>
        <w:t>.</w:t>
      </w:r>
      <w:r w:rsidR="00E20E2B">
        <w:rPr>
          <w:rFonts w:hint="cs"/>
          <w:rtl/>
        </w:rPr>
        <w:t>2</w:t>
      </w:r>
      <w:r w:rsidR="00E20E2B" w:rsidRPr="00E20E2B">
        <w:rPr>
          <w:rtl/>
        </w:rPr>
        <w:t>.2020)‏</w:t>
      </w:r>
      <w:r w:rsidR="00E20E2B" w:rsidRPr="00E20E2B">
        <w:rPr>
          <w:rFonts w:hint="cs"/>
          <w:rtl/>
        </w:rPr>
        <w:t xml:space="preserve">; </w:t>
      </w:r>
      <w:r w:rsidR="00E20E2B" w:rsidRPr="00E20E2B">
        <w:rPr>
          <w:rtl/>
        </w:rPr>
        <w:t xml:space="preserve">ת"פ (שלום ת"א) 63817-07-21 </w:t>
      </w:r>
      <w:r w:rsidR="00E20E2B" w:rsidRPr="00E20E2B">
        <w:rPr>
          <w:rFonts w:ascii="Century" w:hAnsi="Century" w:cs="Miriam"/>
          <w:b/>
          <w:spacing w:val="0"/>
          <w:sz w:val="22"/>
          <w:szCs w:val="24"/>
          <w:rtl/>
        </w:rPr>
        <w:t>מדינת ישראל נ' גומה</w:t>
      </w:r>
      <w:r w:rsidR="00E20E2B" w:rsidRPr="00E20E2B">
        <w:rPr>
          <w:rtl/>
        </w:rPr>
        <w:t xml:space="preserve"> (19.12.2022)</w:t>
      </w:r>
      <w:r w:rsidR="00E20E2B" w:rsidRPr="00E20E2B">
        <w:rPr>
          <w:rFonts w:hint="cs"/>
          <w:rtl/>
        </w:rPr>
        <w:t xml:space="preserve">). </w:t>
      </w:r>
    </w:p>
    <w:p w:rsidR="009F20EC" w:rsidRDefault="009F20EC" w:rsidP="00CA5A39">
      <w:pPr>
        <w:pStyle w:val="Ruller41"/>
        <w:numPr>
          <w:ilvl w:val="0"/>
          <w:numId w:val="11"/>
        </w:numPr>
        <w:overflowPunct/>
        <w:autoSpaceDE/>
        <w:autoSpaceDN/>
        <w:adjustRightInd/>
        <w:spacing w:after="420"/>
        <w:textAlignment w:val="auto"/>
        <w:rPr>
          <w:rtl/>
        </w:rPr>
      </w:pPr>
      <w:r>
        <w:rPr>
          <w:rFonts w:hint="cs"/>
          <w:rtl/>
        </w:rPr>
        <w:t xml:space="preserve">אם כן, </w:t>
      </w:r>
      <w:r w:rsidR="00A462B4">
        <w:rPr>
          <w:rFonts w:hint="cs"/>
          <w:rtl/>
        </w:rPr>
        <w:t>המשטרה חייבת להציג לפני השופט הדן בבקש</w:t>
      </w:r>
      <w:r w:rsidR="00FF1933">
        <w:rPr>
          <w:rFonts w:hint="cs"/>
          <w:rtl/>
        </w:rPr>
        <w:t>ה</w:t>
      </w:r>
      <w:r w:rsidR="00462435">
        <w:rPr>
          <w:rFonts w:hint="cs"/>
          <w:rtl/>
        </w:rPr>
        <w:t xml:space="preserve"> למתן צו החיפוש</w:t>
      </w:r>
      <w:r w:rsidR="00FF1933">
        <w:rPr>
          <w:rFonts w:hint="cs"/>
          <w:rtl/>
        </w:rPr>
        <w:t xml:space="preserve"> את מלוא המידע הקיים, בדיוק המ</w:t>
      </w:r>
      <w:r w:rsidR="00A462B4">
        <w:rPr>
          <w:rFonts w:hint="cs"/>
          <w:rtl/>
        </w:rPr>
        <w:t xml:space="preserve">רבי שניתן. </w:t>
      </w:r>
      <w:r>
        <w:rPr>
          <w:rFonts w:hint="cs"/>
          <w:rtl/>
        </w:rPr>
        <w:t xml:space="preserve">ניתן למצוא שורשים לחובה זו </w:t>
      </w:r>
      <w:r w:rsidR="001B0AFB">
        <w:rPr>
          <w:rFonts w:hint="cs"/>
          <w:rtl/>
        </w:rPr>
        <w:t>במשפט</w:t>
      </w:r>
      <w:r>
        <w:rPr>
          <w:rFonts w:hint="cs"/>
          <w:rtl/>
        </w:rPr>
        <w:t xml:space="preserve"> החוקתי, בהוראות הפקודה, בפסיקת בית משפט זה </w:t>
      </w:r>
      <w:r w:rsidR="00CA5A39">
        <w:rPr>
          <w:rFonts w:hint="cs"/>
          <w:rtl/>
        </w:rPr>
        <w:t>ובהנחיות הפנימיות של</w:t>
      </w:r>
      <w:r>
        <w:rPr>
          <w:rFonts w:hint="cs"/>
          <w:rtl/>
        </w:rPr>
        <w:t xml:space="preserve"> משטרת ישראל עצמה.  </w:t>
      </w:r>
    </w:p>
    <w:p w:rsidR="00E26866" w:rsidRPr="00E26866" w:rsidRDefault="00E26866" w:rsidP="009E1BD2">
      <w:pPr>
        <w:pStyle w:val="Ruller4"/>
        <w:rPr>
          <w:rFonts w:ascii="Century" w:hAnsi="Century" w:cs="Miriam"/>
          <w:b/>
          <w:spacing w:val="0"/>
          <w:szCs w:val="24"/>
          <w:rtl/>
        </w:rPr>
      </w:pPr>
      <w:r w:rsidRPr="00E26866">
        <w:rPr>
          <w:rFonts w:ascii="Century" w:hAnsi="Century" w:cs="Miriam" w:hint="cs"/>
          <w:b/>
          <w:spacing w:val="0"/>
          <w:szCs w:val="24"/>
          <w:rtl/>
        </w:rPr>
        <w:t xml:space="preserve">צו חיפוש על בסיס </w:t>
      </w:r>
      <w:r w:rsidR="009E1BD2">
        <w:rPr>
          <w:rFonts w:ascii="Century" w:hAnsi="Century" w:cs="Miriam" w:hint="cs"/>
          <w:b/>
          <w:spacing w:val="0"/>
          <w:szCs w:val="24"/>
          <w:rtl/>
        </w:rPr>
        <w:t>תצלום אוויר</w:t>
      </w:r>
    </w:p>
    <w:p w:rsidR="00E26866" w:rsidRPr="00E26866" w:rsidRDefault="00E26866" w:rsidP="00E26866">
      <w:pPr>
        <w:pStyle w:val="Ruller4"/>
        <w:rPr>
          <w:rtl/>
        </w:rPr>
      </w:pPr>
    </w:p>
    <w:p w:rsidR="00325F79" w:rsidRDefault="009F20EC" w:rsidP="009E1BD2">
      <w:pPr>
        <w:pStyle w:val="Ruller41"/>
        <w:numPr>
          <w:ilvl w:val="0"/>
          <w:numId w:val="11"/>
        </w:numPr>
        <w:overflowPunct/>
        <w:autoSpaceDE/>
        <w:autoSpaceDN/>
        <w:adjustRightInd/>
        <w:spacing w:after="420"/>
        <w:textAlignment w:val="auto"/>
      </w:pPr>
      <w:r>
        <w:rPr>
          <w:rFonts w:hint="cs"/>
          <w:rtl/>
        </w:rPr>
        <w:t xml:space="preserve">על רקע האמור, </w:t>
      </w:r>
      <w:r w:rsidR="00136CDA">
        <w:rPr>
          <w:rFonts w:hint="cs"/>
          <w:rtl/>
        </w:rPr>
        <w:t xml:space="preserve">יש לבחון את השימוש </w:t>
      </w:r>
      <w:r w:rsidR="009E1BD2">
        <w:rPr>
          <w:rFonts w:hint="cs"/>
          <w:rtl/>
        </w:rPr>
        <w:t xml:space="preserve">בתצלום האוויר </w:t>
      </w:r>
      <w:r w:rsidR="00136CDA">
        <w:rPr>
          <w:rFonts w:hint="cs"/>
          <w:rtl/>
        </w:rPr>
        <w:t xml:space="preserve">לצורך בקשה למתן צו חיפוש. </w:t>
      </w:r>
      <w:r w:rsidR="00A462B4">
        <w:rPr>
          <w:rFonts w:hint="cs"/>
          <w:rtl/>
        </w:rPr>
        <w:t xml:space="preserve">במקרה הפשוט, בידי המשטרה מצויה כתובת ספציפית </w:t>
      </w:r>
      <w:r w:rsidR="00136CDA">
        <w:rPr>
          <w:rFonts w:hint="cs"/>
          <w:rtl/>
        </w:rPr>
        <w:t xml:space="preserve">ומדויקת </w:t>
      </w:r>
      <w:r w:rsidR="00A462B4">
        <w:rPr>
          <w:rFonts w:hint="cs"/>
          <w:rtl/>
        </w:rPr>
        <w:t xml:space="preserve">שבה ידוע </w:t>
      </w:r>
      <w:r>
        <w:rPr>
          <w:rFonts w:hint="cs"/>
          <w:rtl/>
        </w:rPr>
        <w:t xml:space="preserve">בוודאות </w:t>
      </w:r>
      <w:r w:rsidR="00A462B4">
        <w:rPr>
          <w:rFonts w:hint="cs"/>
          <w:rtl/>
        </w:rPr>
        <w:t>כי נמצא המחזיק הרלוונטי לבקשה.</w:t>
      </w:r>
      <w:r w:rsidR="00136CDA">
        <w:rPr>
          <w:rFonts w:hint="cs"/>
          <w:rtl/>
        </w:rPr>
        <w:t xml:space="preserve"> במקרים מורכבים יותר, שבהם אין מספרי בתים, או שמדובר </w:t>
      </w:r>
      <w:r w:rsidR="001B45C5">
        <w:rPr>
          <w:rFonts w:hint="cs"/>
          <w:rtl/>
        </w:rPr>
        <w:t>במתחם</w:t>
      </w:r>
      <w:r w:rsidR="00136CDA">
        <w:rPr>
          <w:rFonts w:hint="cs"/>
          <w:rtl/>
        </w:rPr>
        <w:t xml:space="preserve"> אשר לא ניתן לציין כתובת מדויקת בעניינו,</w:t>
      </w:r>
      <w:r w:rsidR="00B41A93">
        <w:rPr>
          <w:rFonts w:hint="cs"/>
          <w:rtl/>
        </w:rPr>
        <w:t xml:space="preserve"> </w:t>
      </w:r>
      <w:r w:rsidR="001B0AFB">
        <w:rPr>
          <w:rFonts w:hint="cs"/>
          <w:rtl/>
        </w:rPr>
        <w:t>נדרש לערוך התאמות מסוימות. הדבר אינ</w:t>
      </w:r>
      <w:r w:rsidR="00462435">
        <w:rPr>
          <w:rFonts w:hint="cs"/>
          <w:rtl/>
        </w:rPr>
        <w:t>ו</w:t>
      </w:r>
      <w:r w:rsidR="001B0AFB">
        <w:rPr>
          <w:rFonts w:hint="cs"/>
          <w:rtl/>
        </w:rPr>
        <w:t xml:space="preserve"> גורע מכך </w:t>
      </w:r>
      <w:r w:rsidR="0025316E">
        <w:rPr>
          <w:rFonts w:hint="cs"/>
          <w:rtl/>
        </w:rPr>
        <w:t xml:space="preserve">שהחובה לדייק ככל שניתן בבקשתה </w:t>
      </w:r>
      <w:r w:rsidR="001B0AFB">
        <w:rPr>
          <w:rFonts w:hint="cs"/>
          <w:rtl/>
        </w:rPr>
        <w:t xml:space="preserve">עודנה </w:t>
      </w:r>
      <w:r w:rsidR="00B41A93">
        <w:rPr>
          <w:rFonts w:hint="cs"/>
          <w:rtl/>
        </w:rPr>
        <w:t>מוטלת על המשטרה, כמבקשת צו החיפוש</w:t>
      </w:r>
      <w:r w:rsidR="00325F79">
        <w:rPr>
          <w:rFonts w:hint="cs"/>
          <w:rtl/>
        </w:rPr>
        <w:t>.</w:t>
      </w:r>
    </w:p>
    <w:p w:rsidR="00136CDA" w:rsidRDefault="00325F79" w:rsidP="000E36BB">
      <w:pPr>
        <w:pStyle w:val="Ruller41"/>
        <w:rPr>
          <w:rtl/>
        </w:rPr>
      </w:pPr>
      <w:r>
        <w:rPr>
          <w:rtl/>
        </w:rPr>
        <w:tab/>
      </w:r>
      <w:r w:rsidR="00AF4D93">
        <w:rPr>
          <w:rFonts w:hint="cs"/>
          <w:rtl/>
        </w:rPr>
        <w:t xml:space="preserve">אותה </w:t>
      </w:r>
      <w:r w:rsidR="0085672B">
        <w:rPr>
          <w:rFonts w:hint="cs"/>
          <w:rtl/>
        </w:rPr>
        <w:t>ה</w:t>
      </w:r>
      <w:r w:rsidR="00AF4D93">
        <w:rPr>
          <w:rFonts w:hint="cs"/>
          <w:rtl/>
        </w:rPr>
        <w:t xml:space="preserve">זהירות </w:t>
      </w:r>
      <w:r w:rsidR="0085672B">
        <w:rPr>
          <w:rFonts w:hint="cs"/>
          <w:rtl/>
        </w:rPr>
        <w:t>ה</w:t>
      </w:r>
      <w:r w:rsidR="00AF4D93">
        <w:rPr>
          <w:rFonts w:hint="cs"/>
          <w:rtl/>
        </w:rPr>
        <w:t xml:space="preserve">נדרשת </w:t>
      </w:r>
      <w:r w:rsidR="001B0AFB">
        <w:rPr>
          <w:rFonts w:hint="cs"/>
          <w:rtl/>
        </w:rPr>
        <w:t xml:space="preserve">מהמשטרה כמבקשת הצו </w:t>
      </w:r>
      <w:r w:rsidR="00AF4D93">
        <w:rPr>
          <w:rFonts w:hint="cs"/>
          <w:rtl/>
        </w:rPr>
        <w:t xml:space="preserve">במקרים שבהם קיים קושי לתאר באופן מדויק את המבנה מושא צו החיפוש, </w:t>
      </w:r>
      <w:r>
        <w:rPr>
          <w:rFonts w:hint="cs"/>
          <w:rtl/>
        </w:rPr>
        <w:t>מתחייב</w:t>
      </w:r>
      <w:r w:rsidR="001B0AFB">
        <w:rPr>
          <w:rFonts w:hint="cs"/>
          <w:rtl/>
        </w:rPr>
        <w:t>ת</w:t>
      </w:r>
      <w:r>
        <w:rPr>
          <w:rFonts w:hint="cs"/>
          <w:rtl/>
        </w:rPr>
        <w:t xml:space="preserve"> גם בנוסח צו החיפוש עצמו.</w:t>
      </w:r>
      <w:r w:rsidR="00B41A93">
        <w:rPr>
          <w:rFonts w:hint="cs"/>
          <w:rtl/>
        </w:rPr>
        <w:t xml:space="preserve"> </w:t>
      </w:r>
      <w:r>
        <w:rPr>
          <w:rFonts w:hint="cs"/>
          <w:rtl/>
        </w:rPr>
        <w:t xml:space="preserve">כפי שנכתב </w:t>
      </w:r>
      <w:r w:rsidR="00B41A93">
        <w:rPr>
          <w:rFonts w:hint="cs"/>
          <w:rtl/>
        </w:rPr>
        <w:t xml:space="preserve">בהחלטות נציבות </w:t>
      </w:r>
      <w:r w:rsidR="00AF4D93">
        <w:rPr>
          <w:rFonts w:hint="cs"/>
          <w:rtl/>
        </w:rPr>
        <w:t xml:space="preserve">תלונות הציבור על שופטים: </w:t>
      </w:r>
      <w:r w:rsidR="00136CDA">
        <w:rPr>
          <w:rFonts w:hint="cs"/>
          <w:rtl/>
        </w:rPr>
        <w:t>"</w:t>
      </w:r>
      <w:r w:rsidR="00136CDA" w:rsidRPr="00B41A93">
        <w:rPr>
          <w:rFonts w:ascii="Century" w:hAnsi="Century" w:cs="Miriam" w:hint="cs"/>
          <w:b/>
          <w:spacing w:val="0"/>
          <w:sz w:val="22"/>
          <w:szCs w:val="24"/>
          <w:rtl/>
        </w:rPr>
        <w:t xml:space="preserve">באזור בו אין מספרי בתים ראוי לתת בצו </w:t>
      </w:r>
      <w:proofErr w:type="spellStart"/>
      <w:r w:rsidR="00136CDA" w:rsidRPr="00B41A93">
        <w:rPr>
          <w:rFonts w:ascii="Century" w:hAnsi="Century" w:cs="Miriam" w:hint="cs"/>
          <w:b/>
          <w:spacing w:val="0"/>
          <w:sz w:val="22"/>
          <w:szCs w:val="24"/>
          <w:rtl/>
        </w:rPr>
        <w:t>תאור</w:t>
      </w:r>
      <w:proofErr w:type="spellEnd"/>
      <w:r w:rsidR="00136CDA" w:rsidRPr="00B41A93">
        <w:rPr>
          <w:rFonts w:ascii="Century" w:hAnsi="Century" w:cs="Miriam" w:hint="cs"/>
          <w:b/>
          <w:spacing w:val="0"/>
          <w:sz w:val="22"/>
          <w:szCs w:val="24"/>
          <w:rtl/>
        </w:rPr>
        <w:t xml:space="preserve"> מפורט ככל האפשר של הבית (כגון, צורתו החיצונית, שמות שכניו, מספר הקומות בו, סימנים מיוחדים אם ישנם </w:t>
      </w:r>
      <w:r w:rsidR="00136CDA" w:rsidRPr="00B41A93">
        <w:rPr>
          <w:rFonts w:ascii="Century" w:hAnsi="Century" w:cs="Miriam"/>
          <w:b/>
          <w:spacing w:val="0"/>
          <w:sz w:val="22"/>
          <w:szCs w:val="24"/>
          <w:rtl/>
        </w:rPr>
        <w:t>–</w:t>
      </w:r>
      <w:r w:rsidR="00136CDA" w:rsidRPr="00B41A93">
        <w:rPr>
          <w:rFonts w:ascii="Century" w:hAnsi="Century" w:cs="Miriam" w:hint="cs"/>
          <w:b/>
          <w:spacing w:val="0"/>
          <w:sz w:val="22"/>
          <w:szCs w:val="24"/>
          <w:rtl/>
        </w:rPr>
        <w:t xml:space="preserve"> והרשימה איננה מלאה). זאת כדי למנוע תקלות העלולות לקרות, כשזיהוי הבית נעשה על פי צו החיפוש רק על ידי הצבעת מודיע שמתלווה לשוטרים</w:t>
      </w:r>
      <w:r w:rsidR="00136CDA">
        <w:rPr>
          <w:rFonts w:hint="cs"/>
          <w:rtl/>
        </w:rPr>
        <w:t>" (</w:t>
      </w:r>
      <w:r w:rsidR="00136CDA" w:rsidRPr="00B41A93">
        <w:rPr>
          <w:rFonts w:ascii="Century" w:hAnsi="Century" w:cs="Miriam"/>
          <w:b/>
          <w:spacing w:val="0"/>
          <w:sz w:val="22"/>
          <w:szCs w:val="24"/>
          <w:rtl/>
        </w:rPr>
        <w:t xml:space="preserve">ריכוז החלטות </w:t>
      </w:r>
      <w:r w:rsidR="000E36BB">
        <w:rPr>
          <w:rFonts w:ascii="Century" w:hAnsi="Century" w:cs="Miriam" w:hint="cs"/>
          <w:b/>
          <w:spacing w:val="0"/>
          <w:sz w:val="22"/>
          <w:szCs w:val="24"/>
          <w:rtl/>
        </w:rPr>
        <w:t>ה</w:t>
      </w:r>
      <w:r w:rsidR="000E36BB">
        <w:rPr>
          <w:rFonts w:ascii="Century" w:hAnsi="Century" w:cs="Miriam"/>
          <w:b/>
          <w:spacing w:val="0"/>
          <w:sz w:val="22"/>
          <w:szCs w:val="24"/>
          <w:rtl/>
        </w:rPr>
        <w:t>נציבות</w:t>
      </w:r>
      <w:r w:rsidR="000E36BB" w:rsidRPr="000E36BB">
        <w:rPr>
          <w:rFonts w:hint="cs"/>
          <w:rtl/>
        </w:rPr>
        <w:t>,</w:t>
      </w:r>
      <w:r w:rsidR="000E36BB">
        <w:rPr>
          <w:rFonts w:ascii="Century" w:hAnsi="Century" w:cs="Miriam" w:hint="cs"/>
          <w:b/>
          <w:spacing w:val="0"/>
          <w:sz w:val="22"/>
          <w:szCs w:val="24"/>
          <w:rtl/>
        </w:rPr>
        <w:t xml:space="preserve"> </w:t>
      </w:r>
      <w:r w:rsidR="000E36BB">
        <w:rPr>
          <w:rFonts w:ascii="FrankRuehl" w:hAnsi="FrankRuehl" w:hint="cs"/>
          <w:color w:val="000000"/>
          <w:sz w:val="28"/>
          <w:rtl/>
        </w:rPr>
        <w:t>בע</w:t>
      </w:r>
      <w:r w:rsidR="00136CDA" w:rsidRPr="00B41A93">
        <w:rPr>
          <w:rFonts w:ascii="FrankRuehl" w:hAnsi="FrankRuehl"/>
          <w:color w:val="000000"/>
          <w:sz w:val="28"/>
          <w:rtl/>
        </w:rPr>
        <w:t xml:space="preserve">מ' </w:t>
      </w:r>
      <w:r w:rsidR="00136CDA" w:rsidRPr="00B41A93">
        <w:rPr>
          <w:rFonts w:ascii="FrankRuehl" w:hAnsi="FrankRuehl" w:hint="cs"/>
          <w:color w:val="000000"/>
          <w:sz w:val="28"/>
          <w:rtl/>
        </w:rPr>
        <w:t>116-115</w:t>
      </w:r>
      <w:r w:rsidR="00136CDA">
        <w:rPr>
          <w:rFonts w:hint="cs"/>
          <w:rtl/>
        </w:rPr>
        <w:t>)</w:t>
      </w:r>
      <w:r w:rsidR="00B41A93">
        <w:rPr>
          <w:rFonts w:hint="cs"/>
          <w:rtl/>
        </w:rPr>
        <w:t>.</w:t>
      </w:r>
    </w:p>
    <w:p w:rsidR="004607A8" w:rsidRPr="004607A8" w:rsidRDefault="004607A8" w:rsidP="004607A8">
      <w:pPr>
        <w:pStyle w:val="Ruller4"/>
        <w:rPr>
          <w:rtl/>
        </w:rPr>
      </w:pPr>
    </w:p>
    <w:p w:rsidR="00325F79" w:rsidRDefault="001B0AFB" w:rsidP="00C37A10">
      <w:pPr>
        <w:pStyle w:val="Ruller41"/>
        <w:numPr>
          <w:ilvl w:val="0"/>
          <w:numId w:val="11"/>
        </w:numPr>
        <w:overflowPunct/>
        <w:autoSpaceDE/>
        <w:autoSpaceDN/>
        <w:adjustRightInd/>
        <w:spacing w:after="420"/>
        <w:textAlignment w:val="auto"/>
      </w:pPr>
      <w:r>
        <w:rPr>
          <w:rFonts w:hint="cs"/>
          <w:rtl/>
        </w:rPr>
        <w:t xml:space="preserve">במישור הסמכות </w:t>
      </w:r>
      <w:r w:rsidR="00AF4D93">
        <w:rPr>
          <w:rFonts w:hint="cs"/>
          <w:rtl/>
        </w:rPr>
        <w:t xml:space="preserve">אין פגם בהוצאת צו החיפוש תוך היעזרות </w:t>
      </w:r>
      <w:r w:rsidR="009E1BD2">
        <w:rPr>
          <w:rFonts w:hint="cs"/>
          <w:rtl/>
        </w:rPr>
        <w:t>בתצלום אוויר</w:t>
      </w:r>
      <w:r w:rsidR="00B41A93">
        <w:rPr>
          <w:rFonts w:hint="cs"/>
          <w:rtl/>
        </w:rPr>
        <w:t xml:space="preserve">, ואף לא נטען אחרת לפנינו. אלא שהצגת </w:t>
      </w:r>
      <w:r w:rsidR="009E1BD2">
        <w:rPr>
          <w:rFonts w:hint="cs"/>
          <w:rtl/>
        </w:rPr>
        <w:t>התצלום</w:t>
      </w:r>
      <w:r w:rsidR="00B41A93">
        <w:rPr>
          <w:rFonts w:hint="cs"/>
          <w:rtl/>
        </w:rPr>
        <w:t xml:space="preserve">, כאמצעי זיהוי חלופי למקרקעין שבהם מבוקש לבצע חיפוש, אינה מרחיבה את צו החיפוש מעבר </w:t>
      </w:r>
      <w:r w:rsidR="00AF4D93">
        <w:rPr>
          <w:rFonts w:hint="cs"/>
          <w:rtl/>
        </w:rPr>
        <w:t>להיקפו ה"טבעי"</w:t>
      </w:r>
      <w:r w:rsidR="00B41A93">
        <w:rPr>
          <w:rFonts w:hint="cs"/>
          <w:rtl/>
        </w:rPr>
        <w:t xml:space="preserve">. </w:t>
      </w:r>
      <w:r w:rsidR="00C37A10">
        <w:rPr>
          <w:rFonts w:hint="cs"/>
          <w:rtl/>
        </w:rPr>
        <w:t>תצלום האוויר</w:t>
      </w:r>
      <w:r w:rsidR="00B41A93">
        <w:rPr>
          <w:rFonts w:hint="cs"/>
          <w:rtl/>
        </w:rPr>
        <w:t xml:space="preserve"> מהווה אמצעי גידור לצו החיפוש</w:t>
      </w:r>
      <w:r w:rsidR="00E26866">
        <w:rPr>
          <w:rFonts w:hint="cs"/>
          <w:rtl/>
        </w:rPr>
        <w:t>,</w:t>
      </w:r>
      <w:r w:rsidR="00B41A93">
        <w:rPr>
          <w:rFonts w:hint="cs"/>
          <w:rtl/>
        </w:rPr>
        <w:t xml:space="preserve"> ולא אמצעי מרחיב</w:t>
      </w:r>
      <w:r w:rsidR="00CA5A39">
        <w:rPr>
          <w:rFonts w:hint="cs"/>
          <w:rtl/>
        </w:rPr>
        <w:t xml:space="preserve"> </w:t>
      </w:r>
      <w:r w:rsidR="00DA1BAE">
        <w:rPr>
          <w:rFonts w:hint="cs"/>
          <w:rtl/>
        </w:rPr>
        <w:t>ה</w:t>
      </w:r>
      <w:r w:rsidR="00CA5A39">
        <w:rPr>
          <w:rFonts w:hint="cs"/>
          <w:rtl/>
        </w:rPr>
        <w:t xml:space="preserve">מטשטש </w:t>
      </w:r>
      <w:r w:rsidR="00DA1BAE">
        <w:rPr>
          <w:rFonts w:hint="cs"/>
          <w:rtl/>
        </w:rPr>
        <w:t xml:space="preserve">את </w:t>
      </w:r>
      <w:r w:rsidR="00CA5A39">
        <w:rPr>
          <w:rFonts w:hint="cs"/>
          <w:rtl/>
        </w:rPr>
        <w:t>הגבולות בין המותר לאסור</w:t>
      </w:r>
      <w:r w:rsidR="00B41A93">
        <w:rPr>
          <w:rFonts w:hint="cs"/>
          <w:rtl/>
        </w:rPr>
        <w:t xml:space="preserve">; </w:t>
      </w:r>
      <w:r w:rsidR="00C37A10">
        <w:rPr>
          <w:rFonts w:hint="cs"/>
          <w:rtl/>
        </w:rPr>
        <w:t>התצלום</w:t>
      </w:r>
      <w:r w:rsidR="00B41A93">
        <w:rPr>
          <w:rFonts w:hint="cs"/>
          <w:rtl/>
        </w:rPr>
        <w:t xml:space="preserve"> נועד לדייק את צו החיפוש</w:t>
      </w:r>
      <w:r w:rsidR="00E26866">
        <w:rPr>
          <w:rFonts w:hint="cs"/>
          <w:rtl/>
        </w:rPr>
        <w:t>,</w:t>
      </w:r>
      <w:r w:rsidR="00B41A93">
        <w:rPr>
          <w:rFonts w:hint="cs"/>
          <w:rtl/>
        </w:rPr>
        <w:t xml:space="preserve"> </w:t>
      </w:r>
      <w:r w:rsidR="00E26866">
        <w:rPr>
          <w:rFonts w:hint="cs"/>
          <w:rtl/>
        </w:rPr>
        <w:t>ו</w:t>
      </w:r>
      <w:r>
        <w:rPr>
          <w:rFonts w:hint="cs"/>
          <w:rtl/>
        </w:rPr>
        <w:t xml:space="preserve">אינו נועד </w:t>
      </w:r>
      <w:r w:rsidR="00B41A93">
        <w:rPr>
          <w:rFonts w:hint="cs"/>
          <w:rtl/>
        </w:rPr>
        <w:t>לאפשר</w:t>
      </w:r>
      <w:r>
        <w:rPr>
          <w:rFonts w:hint="cs"/>
          <w:rtl/>
        </w:rPr>
        <w:t xml:space="preserve"> באופן גורף, חלילה,</w:t>
      </w:r>
      <w:r w:rsidR="00B41A93">
        <w:rPr>
          <w:rFonts w:hint="cs"/>
          <w:rtl/>
        </w:rPr>
        <w:t xml:space="preserve"> חיפוש אצל צדדים שלישיים אשר איתרע מזלם להתגורר בסמוך למושא הצו; </w:t>
      </w:r>
      <w:r w:rsidR="00C37A10">
        <w:rPr>
          <w:rFonts w:hint="cs"/>
          <w:rtl/>
        </w:rPr>
        <w:t>תצלום האוויר</w:t>
      </w:r>
      <w:r w:rsidR="00B41A93">
        <w:rPr>
          <w:rFonts w:hint="cs"/>
          <w:rtl/>
        </w:rPr>
        <w:t xml:space="preserve"> נועד לצמצם אפשרות פגיעה במידה העולה על הנדרש ולמנוע תקלות, ולא </w:t>
      </w:r>
      <w:r>
        <w:rPr>
          <w:rFonts w:hint="cs"/>
          <w:rtl/>
        </w:rPr>
        <w:t>על מנת ל</w:t>
      </w:r>
      <w:r w:rsidR="00B41A93">
        <w:rPr>
          <w:rFonts w:hint="cs"/>
          <w:rtl/>
        </w:rPr>
        <w:t xml:space="preserve">פתוח פתח לפגיעה קשה פי כמה. </w:t>
      </w:r>
      <w:r>
        <w:rPr>
          <w:rFonts w:hint="cs"/>
          <w:rtl/>
        </w:rPr>
        <w:t xml:space="preserve">במילים אחרות: </w:t>
      </w:r>
      <w:r w:rsidR="00C37A10">
        <w:rPr>
          <w:rFonts w:hint="cs"/>
          <w:rtl/>
        </w:rPr>
        <w:t xml:space="preserve">תצלום האוויר </w:t>
      </w:r>
      <w:r w:rsidR="00B41A93">
        <w:rPr>
          <w:rFonts w:hint="cs"/>
          <w:rtl/>
        </w:rPr>
        <w:t>מהווה תחליף לכתובת</w:t>
      </w:r>
      <w:r w:rsidR="00E26866">
        <w:rPr>
          <w:rFonts w:hint="cs"/>
          <w:rtl/>
        </w:rPr>
        <w:t xml:space="preserve"> מדויקת</w:t>
      </w:r>
      <w:r w:rsidR="00B41A93">
        <w:rPr>
          <w:rFonts w:hint="cs"/>
          <w:rtl/>
        </w:rPr>
        <w:t>, הא ותו לא.</w:t>
      </w:r>
      <w:r w:rsidR="00E26866">
        <w:rPr>
          <w:rFonts w:hint="cs"/>
          <w:rtl/>
        </w:rPr>
        <w:t xml:space="preserve"> </w:t>
      </w:r>
    </w:p>
    <w:p w:rsidR="00B41A93" w:rsidRDefault="00325F79" w:rsidP="00CA5A39">
      <w:pPr>
        <w:pStyle w:val="Ruller41"/>
        <w:tabs>
          <w:tab w:val="clear" w:pos="907"/>
        </w:tabs>
        <w:overflowPunct/>
        <w:autoSpaceDE/>
        <w:autoSpaceDN/>
        <w:adjustRightInd/>
        <w:spacing w:after="420"/>
        <w:textAlignment w:val="auto"/>
      </w:pPr>
      <w:r>
        <w:rPr>
          <w:rtl/>
        </w:rPr>
        <w:tab/>
      </w:r>
      <w:r w:rsidR="00E26866">
        <w:rPr>
          <w:rFonts w:hint="cs"/>
          <w:rtl/>
        </w:rPr>
        <w:t xml:space="preserve">מכאן, שכאשר ניתן צו חיפוש אצל מחזיק ספציפי על בסיס תשתית ראייתית קונקרטית שהתגבשה ביחס למחזיק זה, </w:t>
      </w:r>
      <w:r w:rsidR="008877B5">
        <w:rPr>
          <w:rFonts w:hint="cs"/>
          <w:rtl/>
        </w:rPr>
        <w:t xml:space="preserve">חיפוש אשר התבצע אצל מחזיק אחר אשר בדיעבד מתברר כי אף הוא מתגורר באזור </w:t>
      </w:r>
      <w:r w:rsidR="008877B5">
        <w:rPr>
          <w:rtl/>
        </w:rPr>
        <w:t>–</w:t>
      </w:r>
      <w:r w:rsidR="008877B5">
        <w:rPr>
          <w:rFonts w:hint="cs"/>
          <w:rtl/>
        </w:rPr>
        <w:t xml:space="preserve"> הוא פגום. </w:t>
      </w:r>
      <w:r w:rsidR="00E26866">
        <w:rPr>
          <w:rFonts w:hint="cs"/>
          <w:rtl/>
        </w:rPr>
        <w:t xml:space="preserve">מבחינה זו, דומה המצב </w:t>
      </w:r>
      <w:r w:rsidR="008877B5">
        <w:rPr>
          <w:rFonts w:hint="cs"/>
          <w:rtl/>
        </w:rPr>
        <w:t xml:space="preserve">למצב </w:t>
      </w:r>
      <w:r w:rsidR="00E26866">
        <w:rPr>
          <w:rFonts w:hint="cs"/>
          <w:rtl/>
        </w:rPr>
        <w:t>שבו מתבקש צו למחזיק מסוים בכתובת ספציפית, ובעת מימוש הצו מתברר כי לא מדובר בכתובת הנכונ</w:t>
      </w:r>
      <w:r w:rsidR="008877B5">
        <w:rPr>
          <w:rFonts w:hint="cs"/>
          <w:rtl/>
        </w:rPr>
        <w:t>ה</w:t>
      </w:r>
      <w:r w:rsidR="001B0AFB">
        <w:rPr>
          <w:rFonts w:hint="cs"/>
          <w:rtl/>
        </w:rPr>
        <w:t xml:space="preserve"> או כי הכתובת אינה מדויקת</w:t>
      </w:r>
      <w:r w:rsidR="00CA5A39">
        <w:rPr>
          <w:rFonts w:hint="cs"/>
          <w:rtl/>
        </w:rPr>
        <w:t>.</w:t>
      </w:r>
      <w:r w:rsidR="001B0AFB">
        <w:rPr>
          <w:rFonts w:hint="cs"/>
          <w:rtl/>
        </w:rPr>
        <w:t xml:space="preserve"> </w:t>
      </w:r>
      <w:r w:rsidR="008877B5">
        <w:rPr>
          <w:rFonts w:hint="cs"/>
          <w:rtl/>
        </w:rPr>
        <w:t>כאשר מדובר בבקשה למתן צו חיפוש לפי סעיף 23 לפקודה, אי-התאמה בין המחזיק לכתובת</w:t>
      </w:r>
      <w:r w:rsidR="00CA5A39">
        <w:rPr>
          <w:rFonts w:hint="cs"/>
          <w:rtl/>
        </w:rPr>
        <w:t xml:space="preserve"> שצוינה בצו החיפוש</w:t>
      </w:r>
      <w:r w:rsidR="008877B5">
        <w:rPr>
          <w:rFonts w:hint="cs"/>
          <w:rtl/>
        </w:rPr>
        <w:t xml:space="preserve">, משמעותה פגם בצו החיפוש. חומרת הפגם והשלכותיו יידונו בכל מקרה לגופו. </w:t>
      </w:r>
    </w:p>
    <w:p w:rsidR="004607A8" w:rsidRDefault="00B41A93" w:rsidP="00CA5A39">
      <w:pPr>
        <w:pStyle w:val="Ruller4"/>
        <w:rPr>
          <w:rtl/>
        </w:rPr>
      </w:pPr>
      <w:r>
        <w:rPr>
          <w:rtl/>
        </w:rPr>
        <w:tab/>
      </w:r>
      <w:r w:rsidR="00CA5A39">
        <w:rPr>
          <w:rFonts w:hint="cs"/>
          <w:rtl/>
        </w:rPr>
        <w:t>בהתאם, וכנגזר מכך: זולת</w:t>
      </w:r>
      <w:r>
        <w:rPr>
          <w:rFonts w:hint="cs"/>
          <w:rtl/>
        </w:rPr>
        <w:t xml:space="preserve"> אם נכתב אחרת באופן מפורש</w:t>
      </w:r>
      <w:r w:rsidR="004607A8">
        <w:rPr>
          <w:rFonts w:hint="cs"/>
          <w:rtl/>
        </w:rPr>
        <w:t xml:space="preserve">, כאשר ניתן צו חיפוש בסיוע </w:t>
      </w:r>
      <w:r w:rsidR="00C37A10">
        <w:rPr>
          <w:rFonts w:hint="cs"/>
          <w:rtl/>
        </w:rPr>
        <w:t>תצלום אוויר</w:t>
      </w:r>
      <w:r>
        <w:rPr>
          <w:rFonts w:hint="cs"/>
          <w:rtl/>
        </w:rPr>
        <w:t xml:space="preserve"> לא ניתן ללמוד </w:t>
      </w:r>
      <w:r w:rsidR="008877B5">
        <w:rPr>
          <w:rFonts w:hint="cs"/>
          <w:rtl/>
        </w:rPr>
        <w:t>שבית המשפט היה מודע לכך שקי</w:t>
      </w:r>
      <w:r w:rsidR="004607A8">
        <w:rPr>
          <w:rFonts w:hint="cs"/>
          <w:rtl/>
        </w:rPr>
        <w:t>ימים צדדים שלישיים באותו תא שטח;</w:t>
      </w:r>
      <w:r w:rsidR="008877B5">
        <w:rPr>
          <w:rFonts w:hint="cs"/>
          <w:rtl/>
        </w:rPr>
        <w:t xml:space="preserve"> </w:t>
      </w:r>
      <w:r>
        <w:rPr>
          <w:rFonts w:hint="cs"/>
          <w:rtl/>
        </w:rPr>
        <w:t>כי בית המשפט שקלל א</w:t>
      </w:r>
      <w:r w:rsidR="00E26866">
        <w:rPr>
          <w:rFonts w:hint="cs"/>
          <w:rtl/>
        </w:rPr>
        <w:t xml:space="preserve">ת הפגיעה האפשרית </w:t>
      </w:r>
      <w:r w:rsidR="004607A8">
        <w:rPr>
          <w:rFonts w:hint="cs"/>
          <w:rtl/>
        </w:rPr>
        <w:t>בהם;</w:t>
      </w:r>
      <w:r w:rsidR="00CA5A39">
        <w:rPr>
          <w:rFonts w:hint="cs"/>
          <w:rtl/>
        </w:rPr>
        <w:t xml:space="preserve"> וכי למרות זאת העניק צו חיפוש גורף</w:t>
      </w:r>
      <w:r w:rsidR="008877B5">
        <w:rPr>
          <w:rFonts w:hint="cs"/>
          <w:rtl/>
        </w:rPr>
        <w:t xml:space="preserve"> עבור תא שטח זה. </w:t>
      </w:r>
      <w:r>
        <w:rPr>
          <w:rFonts w:hint="cs"/>
          <w:rtl/>
        </w:rPr>
        <w:t xml:space="preserve">לא כל שכן, כאשר התמונה העובדתית המוצגת לבית המשפט היא כזו אשר לא ניתן ללמוד ממנה על קיומם של </w:t>
      </w:r>
      <w:r w:rsidR="00CA5A39">
        <w:rPr>
          <w:rFonts w:hint="cs"/>
          <w:rtl/>
        </w:rPr>
        <w:t>צדדים שלישיים אשר עלולים להיפגע, ובפרט כאשר הצו המבוקש נוקב בשמו של החשוד, כמו במקרה שלפנינו.</w:t>
      </w:r>
      <w:r w:rsidR="0025316E">
        <w:rPr>
          <w:rFonts w:hint="cs"/>
          <w:rtl/>
        </w:rPr>
        <w:t xml:space="preserve"> כלומר, משלא הוצג לפני בית המשפט מידע ממנו הוא יכול ללמוד על כך שישנם צדדים שלישיים באותו תא </w:t>
      </w:r>
      <w:r w:rsidR="00462435">
        <w:rPr>
          <w:rFonts w:hint="cs"/>
          <w:rtl/>
        </w:rPr>
        <w:t>ש</w:t>
      </w:r>
      <w:r w:rsidR="0025316E">
        <w:rPr>
          <w:rFonts w:hint="cs"/>
          <w:rtl/>
        </w:rPr>
        <w:t xml:space="preserve">טח, כמובן שלא ניתן לפרש את החלטתו </w:t>
      </w:r>
      <w:proofErr w:type="spellStart"/>
      <w:r w:rsidR="0025316E">
        <w:rPr>
          <w:rFonts w:hint="cs"/>
          <w:rtl/>
        </w:rPr>
        <w:t>ככזו</w:t>
      </w:r>
      <w:proofErr w:type="spellEnd"/>
      <w:r w:rsidR="0025316E">
        <w:rPr>
          <w:rFonts w:hint="cs"/>
          <w:rtl/>
        </w:rPr>
        <w:t xml:space="preserve"> המתירה פגיעה בזכויותיהם. </w:t>
      </w:r>
      <w:r w:rsidR="001B0AFB">
        <w:rPr>
          <w:rFonts w:hint="cs"/>
          <w:rtl/>
        </w:rPr>
        <w:t xml:space="preserve"> </w:t>
      </w:r>
    </w:p>
    <w:p w:rsidR="005B141F" w:rsidRDefault="005B141F" w:rsidP="005B141F">
      <w:pPr>
        <w:pStyle w:val="Ruller4"/>
        <w:rPr>
          <w:rtl/>
        </w:rPr>
      </w:pPr>
    </w:p>
    <w:p w:rsidR="00E26866" w:rsidRPr="00E26866" w:rsidRDefault="00E26866" w:rsidP="00E26866">
      <w:pPr>
        <w:pStyle w:val="Ruller4"/>
        <w:rPr>
          <w:rFonts w:ascii="Century" w:hAnsi="Century" w:cs="Miriam"/>
          <w:b/>
          <w:spacing w:val="0"/>
          <w:szCs w:val="24"/>
          <w:rtl/>
        </w:rPr>
      </w:pPr>
      <w:r w:rsidRPr="00E26866">
        <w:rPr>
          <w:rFonts w:ascii="Century" w:hAnsi="Century" w:cs="Miriam" w:hint="cs"/>
          <w:b/>
          <w:spacing w:val="0"/>
          <w:szCs w:val="24"/>
          <w:rtl/>
        </w:rPr>
        <w:t>מן הכלל אל הפרט</w:t>
      </w:r>
    </w:p>
    <w:p w:rsidR="00E26866" w:rsidRPr="00E26866" w:rsidRDefault="00E26866" w:rsidP="00E26866">
      <w:pPr>
        <w:pStyle w:val="Ruller4"/>
        <w:rPr>
          <w:rtl/>
        </w:rPr>
      </w:pPr>
    </w:p>
    <w:p w:rsidR="005D0160" w:rsidRDefault="005D0160" w:rsidP="0025316E">
      <w:pPr>
        <w:pStyle w:val="Ruller41"/>
        <w:numPr>
          <w:ilvl w:val="0"/>
          <w:numId w:val="11"/>
        </w:numPr>
        <w:overflowPunct/>
        <w:autoSpaceDE/>
        <w:autoSpaceDN/>
        <w:adjustRightInd/>
        <w:spacing w:after="420"/>
        <w:textAlignment w:val="auto"/>
      </w:pPr>
      <w:r>
        <w:rPr>
          <w:rFonts w:hint="cs"/>
          <w:rtl/>
        </w:rPr>
        <w:t xml:space="preserve">מכאן </w:t>
      </w:r>
      <w:r w:rsidR="00E26866">
        <w:rPr>
          <w:rFonts w:hint="cs"/>
          <w:rtl/>
        </w:rPr>
        <w:t>ל</w:t>
      </w:r>
      <w:r w:rsidR="00FF1933">
        <w:rPr>
          <w:rFonts w:hint="cs"/>
          <w:rtl/>
        </w:rPr>
        <w:t>התרחשות הדברים בהליך זה</w:t>
      </w:r>
      <w:r>
        <w:rPr>
          <w:rFonts w:hint="cs"/>
          <w:rtl/>
        </w:rPr>
        <w:t xml:space="preserve">: </w:t>
      </w:r>
    </w:p>
    <w:p w:rsidR="005D0160" w:rsidRDefault="005D0160" w:rsidP="0025316E">
      <w:pPr>
        <w:pStyle w:val="Ruller41"/>
        <w:numPr>
          <w:ilvl w:val="0"/>
          <w:numId w:val="11"/>
        </w:numPr>
        <w:overflowPunct/>
        <w:autoSpaceDE/>
        <w:autoSpaceDN/>
        <w:adjustRightInd/>
        <w:spacing w:after="420"/>
        <w:textAlignment w:val="auto"/>
        <w:rPr>
          <w:rtl/>
        </w:rPr>
      </w:pPr>
      <w:r w:rsidRPr="00E26866">
        <w:rPr>
          <w:rFonts w:ascii="Century" w:hAnsi="Century" w:cs="Miriam" w:hint="cs"/>
          <w:b/>
          <w:spacing w:val="0"/>
          <w:sz w:val="22"/>
          <w:szCs w:val="24"/>
          <w:rtl/>
        </w:rPr>
        <w:t>ראשית</w:t>
      </w:r>
      <w:r>
        <w:rPr>
          <w:rFonts w:hint="cs"/>
          <w:rtl/>
        </w:rPr>
        <w:t xml:space="preserve">, קיים פער </w:t>
      </w:r>
      <w:r w:rsidR="00F1578F">
        <w:rPr>
          <w:rFonts w:hint="cs"/>
          <w:rtl/>
        </w:rPr>
        <w:t xml:space="preserve">לא מוסבר </w:t>
      </w:r>
      <w:r>
        <w:rPr>
          <w:rFonts w:hint="cs"/>
          <w:rtl/>
        </w:rPr>
        <w:t xml:space="preserve">בין הכתובת שצוינה בבקשה לצו החיפוש </w:t>
      </w:r>
      <w:r>
        <w:rPr>
          <w:rtl/>
        </w:rPr>
        <w:t>–</w:t>
      </w:r>
      <w:r>
        <w:rPr>
          <w:rFonts w:hint="cs"/>
          <w:rtl/>
        </w:rPr>
        <w:t xml:space="preserve"> רח' קישון במושב ישרש, לבין הכתובת המופיע</w:t>
      </w:r>
      <w:r w:rsidR="00F1578F">
        <w:rPr>
          <w:rFonts w:hint="cs"/>
          <w:rtl/>
        </w:rPr>
        <w:t>ה</w:t>
      </w:r>
      <w:r>
        <w:rPr>
          <w:rFonts w:hint="cs"/>
          <w:rtl/>
        </w:rPr>
        <w:t xml:space="preserve"> בצו החיפוש עצמו </w:t>
      </w:r>
      <w:r>
        <w:rPr>
          <w:rtl/>
        </w:rPr>
        <w:t>–</w:t>
      </w:r>
      <w:r>
        <w:rPr>
          <w:rFonts w:hint="cs"/>
          <w:rtl/>
        </w:rPr>
        <w:t xml:space="preserve"> </w:t>
      </w:r>
      <w:r w:rsidR="00BC49C7">
        <w:rPr>
          <w:rFonts w:hint="cs"/>
          <w:rtl/>
        </w:rPr>
        <w:t>"</w:t>
      </w:r>
      <w:r w:rsidR="00BC49C7" w:rsidRPr="00BC49C7">
        <w:rPr>
          <w:rFonts w:ascii="Century" w:hAnsi="Century" w:cs="Miriam" w:hint="cs"/>
          <w:b/>
          <w:spacing w:val="0"/>
          <w:sz w:val="22"/>
          <w:szCs w:val="24"/>
          <w:rtl/>
        </w:rPr>
        <w:t>רחוב קרן היסוד 27</w:t>
      </w:r>
      <w:r w:rsidR="00BC49C7">
        <w:rPr>
          <w:rFonts w:hint="cs"/>
          <w:rtl/>
        </w:rPr>
        <w:t xml:space="preserve">". מדובר בצו חיפוש שניתן לכתובת אחרת מזו שבה מתגורר מושא הצו </w:t>
      </w:r>
      <w:r w:rsidR="00BC49C7">
        <w:rPr>
          <w:rtl/>
        </w:rPr>
        <w:t>–</w:t>
      </w:r>
      <w:r w:rsidR="00BC49C7">
        <w:rPr>
          <w:rFonts w:hint="cs"/>
          <w:rtl/>
        </w:rPr>
        <w:t xml:space="preserve"> שלתיאל. </w:t>
      </w:r>
    </w:p>
    <w:p w:rsidR="00FF1933" w:rsidRDefault="005D0160" w:rsidP="00C37A10">
      <w:pPr>
        <w:pStyle w:val="Ruller41"/>
        <w:numPr>
          <w:ilvl w:val="0"/>
          <w:numId w:val="11"/>
        </w:numPr>
        <w:overflowPunct/>
        <w:autoSpaceDE/>
        <w:autoSpaceDN/>
        <w:adjustRightInd/>
        <w:spacing w:after="420"/>
        <w:textAlignment w:val="auto"/>
      </w:pPr>
      <w:r w:rsidRPr="00E26866">
        <w:rPr>
          <w:rFonts w:ascii="Century" w:hAnsi="Century" w:cs="Miriam" w:hint="cs"/>
          <w:b/>
          <w:spacing w:val="0"/>
          <w:sz w:val="22"/>
          <w:szCs w:val="24"/>
          <w:rtl/>
        </w:rPr>
        <w:t>שנית</w:t>
      </w:r>
      <w:r>
        <w:rPr>
          <w:rFonts w:hint="cs"/>
          <w:rtl/>
        </w:rPr>
        <w:t xml:space="preserve">, </w:t>
      </w:r>
      <w:r w:rsidR="00C37A10">
        <w:rPr>
          <w:rFonts w:hint="cs"/>
          <w:rtl/>
        </w:rPr>
        <w:t>תצלום האוויר</w:t>
      </w:r>
      <w:r w:rsidR="00FF1933">
        <w:rPr>
          <w:rFonts w:hint="cs"/>
          <w:rtl/>
        </w:rPr>
        <w:t xml:space="preserve"> שעל בסיס</w:t>
      </w:r>
      <w:r w:rsidR="00462435">
        <w:rPr>
          <w:rFonts w:hint="cs"/>
          <w:rtl/>
        </w:rPr>
        <w:t>ו</w:t>
      </w:r>
      <w:r w:rsidR="00FF1933">
        <w:rPr>
          <w:rFonts w:hint="cs"/>
          <w:rtl/>
        </w:rPr>
        <w:t xml:space="preserve"> ניתן הצו אינ</w:t>
      </w:r>
      <w:r w:rsidR="00462435">
        <w:rPr>
          <w:rFonts w:hint="cs"/>
          <w:rtl/>
        </w:rPr>
        <w:t>ו ברור</w:t>
      </w:r>
      <w:r w:rsidR="00FF1933">
        <w:rPr>
          <w:rFonts w:hint="cs"/>
          <w:rtl/>
        </w:rPr>
        <w:t xml:space="preserve"> כלל ועיקר.</w:t>
      </w:r>
      <w:r w:rsidR="00E26866">
        <w:rPr>
          <w:rFonts w:hint="cs"/>
          <w:rtl/>
        </w:rPr>
        <w:t xml:space="preserve"> </w:t>
      </w:r>
      <w:r w:rsidR="00412605">
        <w:rPr>
          <w:rFonts w:hint="cs"/>
          <w:rtl/>
        </w:rPr>
        <w:t>כפי שציין בית משפט השלום, מדובר בדף מטושטש</w:t>
      </w:r>
      <w:r w:rsidR="00BC49C7">
        <w:rPr>
          <w:rFonts w:hint="cs"/>
          <w:rtl/>
        </w:rPr>
        <w:t xml:space="preserve"> שלא ניתן ללמוד ממנו על פרטי השטח המסומן</w:t>
      </w:r>
      <w:r w:rsidR="007D3A5A">
        <w:rPr>
          <w:rFonts w:hint="cs"/>
          <w:rtl/>
        </w:rPr>
        <w:t xml:space="preserve"> ואף לא ניתן לראות בו את הקרוואן שבו מתגורר שלתיאל (פסקה 19 לתגובת המשיבה)</w:t>
      </w:r>
      <w:r w:rsidR="00BC49C7">
        <w:rPr>
          <w:rFonts w:hint="cs"/>
          <w:rtl/>
        </w:rPr>
        <w:t xml:space="preserve">. </w:t>
      </w:r>
      <w:r w:rsidR="00E26866">
        <w:rPr>
          <w:rFonts w:hint="cs"/>
          <w:rtl/>
        </w:rPr>
        <w:t xml:space="preserve">דומני כי אותה חובה אשר חלה על המשטרה לדייק כמיטב יכולתה ביתר פרטי בקשתה לצו החיפוש, היא שמחייבת אותה גם להציג לפני בית המשפט </w:t>
      </w:r>
      <w:r w:rsidR="00C37A10">
        <w:rPr>
          <w:rFonts w:hint="cs"/>
          <w:rtl/>
        </w:rPr>
        <w:t>תצלום אוויר</w:t>
      </w:r>
      <w:r w:rsidR="007D3A5A">
        <w:rPr>
          <w:rFonts w:hint="cs"/>
          <w:rtl/>
        </w:rPr>
        <w:t xml:space="preserve"> עדכני ומדויק</w:t>
      </w:r>
      <w:r w:rsidR="00C37A10">
        <w:rPr>
          <w:rFonts w:hint="cs"/>
          <w:rtl/>
        </w:rPr>
        <w:t xml:space="preserve"> ככל שניתן, אשר י</w:t>
      </w:r>
      <w:r w:rsidR="00E26866">
        <w:rPr>
          <w:rFonts w:hint="cs"/>
          <w:rtl/>
        </w:rPr>
        <w:t xml:space="preserve">אפשר לשופט לבחון באופן המיטבי את תא השטח אשר מבוקש לערוך בו חיפוש. </w:t>
      </w:r>
    </w:p>
    <w:p w:rsidR="001B0AFB" w:rsidRDefault="00E26866" w:rsidP="00C37A10">
      <w:pPr>
        <w:pStyle w:val="Ruller41"/>
        <w:numPr>
          <w:ilvl w:val="0"/>
          <w:numId w:val="11"/>
        </w:numPr>
        <w:overflowPunct/>
        <w:autoSpaceDE/>
        <w:autoSpaceDN/>
        <w:adjustRightInd/>
        <w:spacing w:after="420"/>
        <w:textAlignment w:val="auto"/>
      </w:pPr>
      <w:r w:rsidRPr="00E26866">
        <w:rPr>
          <w:rFonts w:ascii="Century" w:hAnsi="Century" w:cs="Miriam" w:hint="cs"/>
          <w:b/>
          <w:spacing w:val="0"/>
          <w:sz w:val="22"/>
          <w:szCs w:val="24"/>
          <w:rtl/>
        </w:rPr>
        <w:t>שלישית</w:t>
      </w:r>
      <w:r>
        <w:rPr>
          <w:rFonts w:hint="cs"/>
          <w:rtl/>
        </w:rPr>
        <w:t xml:space="preserve">, </w:t>
      </w:r>
      <w:r w:rsidR="005D0160">
        <w:rPr>
          <w:rFonts w:hint="cs"/>
          <w:rtl/>
        </w:rPr>
        <w:t>העמדה העקבית אשר הוצגה על ידי השוטרים</w:t>
      </w:r>
      <w:r w:rsidR="0085672B">
        <w:rPr>
          <w:rFonts w:hint="cs"/>
          <w:rtl/>
        </w:rPr>
        <w:t xml:space="preserve"> בבית המשפט</w:t>
      </w:r>
      <w:r w:rsidR="005D0160">
        <w:rPr>
          <w:rFonts w:hint="cs"/>
          <w:rtl/>
        </w:rPr>
        <w:t xml:space="preserve">, הייתה כי מבחינתם אין זה משנה </w:t>
      </w:r>
      <w:r w:rsidR="00BC49C7">
        <w:rPr>
          <w:rFonts w:hint="cs"/>
          <w:rtl/>
        </w:rPr>
        <w:t>מי המחזיק בכל נכס במתחם</w:t>
      </w:r>
      <w:r>
        <w:rPr>
          <w:rFonts w:hint="cs"/>
          <w:rtl/>
        </w:rPr>
        <w:t xml:space="preserve">, היות שניתן להם צו חיפוש המאפשר להם, </w:t>
      </w:r>
      <w:r w:rsidR="001625A8">
        <w:rPr>
          <w:rFonts w:hint="cs"/>
          <w:rtl/>
        </w:rPr>
        <w:t>לשיטתם</w:t>
      </w:r>
      <w:r>
        <w:rPr>
          <w:rFonts w:hint="cs"/>
          <w:rtl/>
        </w:rPr>
        <w:t xml:space="preserve">, לחפש בכל תא השטח המסומן </w:t>
      </w:r>
      <w:r w:rsidR="00C37A10">
        <w:rPr>
          <w:rFonts w:hint="cs"/>
          <w:rtl/>
        </w:rPr>
        <w:t>בתצלום האוויר</w:t>
      </w:r>
      <w:r>
        <w:rPr>
          <w:rFonts w:hint="cs"/>
          <w:rtl/>
        </w:rPr>
        <w:t>.</w:t>
      </w:r>
      <w:r w:rsidR="005D0160">
        <w:rPr>
          <w:rFonts w:hint="cs"/>
          <w:rtl/>
        </w:rPr>
        <w:t xml:space="preserve"> </w:t>
      </w:r>
      <w:r>
        <w:rPr>
          <w:rFonts w:hint="cs"/>
          <w:rtl/>
        </w:rPr>
        <w:t xml:space="preserve">כאמור, </w:t>
      </w:r>
      <w:r w:rsidR="005D0160">
        <w:rPr>
          <w:rFonts w:hint="cs"/>
          <w:rtl/>
        </w:rPr>
        <w:t xml:space="preserve">זוהי </w:t>
      </w:r>
      <w:r w:rsidR="009E1BD2">
        <w:rPr>
          <w:rFonts w:hint="cs"/>
          <w:rtl/>
        </w:rPr>
        <w:t>פרשנות</w:t>
      </w:r>
      <w:r w:rsidR="00986EEE">
        <w:rPr>
          <w:rFonts w:hint="cs"/>
          <w:rtl/>
        </w:rPr>
        <w:t xml:space="preserve"> לא נכונה של צו החיפוש שניתן </w:t>
      </w:r>
      <w:r w:rsidR="00986EEE">
        <w:rPr>
          <w:rtl/>
        </w:rPr>
        <w:t>–</w:t>
      </w:r>
      <w:r w:rsidR="00986EEE">
        <w:rPr>
          <w:rFonts w:hint="cs"/>
          <w:rtl/>
        </w:rPr>
        <w:t xml:space="preserve"> </w:t>
      </w:r>
      <w:r w:rsidR="00BC49C7">
        <w:rPr>
          <w:rFonts w:hint="cs"/>
          <w:rtl/>
        </w:rPr>
        <w:t xml:space="preserve">השימוש </w:t>
      </w:r>
      <w:r w:rsidR="00C37A10">
        <w:rPr>
          <w:rFonts w:hint="cs"/>
          <w:rtl/>
        </w:rPr>
        <w:t>בתצלום</w:t>
      </w:r>
      <w:r w:rsidR="00BC49C7">
        <w:rPr>
          <w:rFonts w:hint="cs"/>
          <w:rtl/>
        </w:rPr>
        <w:t xml:space="preserve"> נעשה </w:t>
      </w:r>
      <w:r w:rsidR="00FE4756">
        <w:rPr>
          <w:rFonts w:hint="cs"/>
          <w:rtl/>
        </w:rPr>
        <w:t xml:space="preserve">רק בשל </w:t>
      </w:r>
      <w:r w:rsidR="001B0AFB">
        <w:rPr>
          <w:rFonts w:hint="cs"/>
          <w:rtl/>
        </w:rPr>
        <w:t>העדר</w:t>
      </w:r>
      <w:r w:rsidR="00BC49C7">
        <w:rPr>
          <w:rFonts w:hint="cs"/>
          <w:rtl/>
        </w:rPr>
        <w:t xml:space="preserve"> כת</w:t>
      </w:r>
      <w:r w:rsidR="00986EEE">
        <w:rPr>
          <w:rFonts w:hint="cs"/>
          <w:rtl/>
        </w:rPr>
        <w:t>ובת מדויקת,</w:t>
      </w:r>
      <w:r w:rsidR="00BC49C7">
        <w:rPr>
          <w:rFonts w:hint="cs"/>
          <w:rtl/>
        </w:rPr>
        <w:t xml:space="preserve"> כך גם לדברי שושן: "</w:t>
      </w:r>
      <w:r w:rsidR="00BC49C7" w:rsidRPr="00BC49C7">
        <w:rPr>
          <w:rFonts w:ascii="Century" w:hAnsi="Century" w:cs="Miriam" w:hint="cs"/>
          <w:b/>
          <w:spacing w:val="0"/>
          <w:sz w:val="22"/>
          <w:szCs w:val="24"/>
          <w:rtl/>
        </w:rPr>
        <w:t xml:space="preserve">ש. למה היית צריך לצרף את </w:t>
      </w:r>
      <w:proofErr w:type="spellStart"/>
      <w:r w:rsidR="00BC49C7" w:rsidRPr="00BC49C7">
        <w:rPr>
          <w:rFonts w:ascii="Century" w:hAnsi="Century" w:cs="Miriam" w:hint="cs"/>
          <w:b/>
          <w:spacing w:val="0"/>
          <w:sz w:val="22"/>
          <w:szCs w:val="24"/>
          <w:rtl/>
        </w:rPr>
        <w:t>התצ"א</w:t>
      </w:r>
      <w:proofErr w:type="spellEnd"/>
      <w:r w:rsidR="00BC49C7" w:rsidRPr="00BC49C7">
        <w:rPr>
          <w:rFonts w:ascii="Century" w:hAnsi="Century" w:cs="Miriam" w:hint="cs"/>
          <w:b/>
          <w:spacing w:val="0"/>
          <w:sz w:val="22"/>
          <w:szCs w:val="24"/>
          <w:rtl/>
        </w:rPr>
        <w:t>. ת. כי לא היה לי מספר כתובת [...]</w:t>
      </w:r>
      <w:r w:rsidR="00BC49C7">
        <w:rPr>
          <w:rFonts w:hint="cs"/>
          <w:rtl/>
        </w:rPr>
        <w:t xml:space="preserve">" (פרו' דיון מיום </w:t>
      </w:r>
      <w:r w:rsidR="00593B9A">
        <w:rPr>
          <w:rFonts w:hint="cs"/>
          <w:rtl/>
        </w:rPr>
        <w:t>17.12.2020, עמ' 20</w:t>
      </w:r>
      <w:r w:rsidR="001B0AFB">
        <w:rPr>
          <w:rFonts w:hint="cs"/>
          <w:rtl/>
        </w:rPr>
        <w:t>, ש' 16-15).</w:t>
      </w:r>
    </w:p>
    <w:p w:rsidR="00BC49C7" w:rsidRDefault="001B0AFB" w:rsidP="0025316E">
      <w:pPr>
        <w:pStyle w:val="Ruller41"/>
        <w:tabs>
          <w:tab w:val="clear" w:pos="907"/>
        </w:tabs>
        <w:overflowPunct/>
        <w:autoSpaceDE/>
        <w:autoSpaceDN/>
        <w:adjustRightInd/>
        <w:spacing w:after="420"/>
        <w:textAlignment w:val="auto"/>
      </w:pPr>
      <w:r>
        <w:rPr>
          <w:rtl/>
        </w:rPr>
        <w:tab/>
      </w:r>
      <w:r w:rsidR="00BC49C7">
        <w:rPr>
          <w:rFonts w:hint="cs"/>
          <w:rtl/>
        </w:rPr>
        <w:t>אל מול תכל</w:t>
      </w:r>
      <w:r w:rsidR="0025316E">
        <w:rPr>
          <w:rFonts w:hint="cs"/>
          <w:rtl/>
        </w:rPr>
        <w:t xml:space="preserve">ית זו, לא ניתן לקבל גישה גורפת </w:t>
      </w:r>
      <w:r w:rsidR="00BC49C7">
        <w:rPr>
          <w:rFonts w:hint="cs"/>
          <w:rtl/>
        </w:rPr>
        <w:t>כי כלל לא משנה מי גר באותו תא שטח שלגביו הוצא הצו</w:t>
      </w:r>
      <w:r>
        <w:rPr>
          <w:rFonts w:hint="cs"/>
          <w:rtl/>
        </w:rPr>
        <w:t xml:space="preserve"> </w:t>
      </w:r>
      <w:r>
        <w:rPr>
          <w:rtl/>
        </w:rPr>
        <w:t>–</w:t>
      </w:r>
      <w:r>
        <w:rPr>
          <w:rFonts w:hint="cs"/>
          <w:rtl/>
        </w:rPr>
        <w:t xml:space="preserve"> כוחו של צו החיפוש יפה כלפיו</w:t>
      </w:r>
      <w:r w:rsidR="00BC49C7">
        <w:rPr>
          <w:rFonts w:hint="cs"/>
          <w:rtl/>
        </w:rPr>
        <w:t xml:space="preserve">. </w:t>
      </w:r>
      <w:r w:rsidR="0025316E">
        <w:rPr>
          <w:rFonts w:hint="cs"/>
          <w:rtl/>
        </w:rPr>
        <w:t xml:space="preserve">אלא שזו בדיוק הגישה שהוצגה על ידי השוטרים בעדותם. </w:t>
      </w:r>
      <w:r w:rsidR="00BC49C7">
        <w:rPr>
          <w:rFonts w:hint="cs"/>
          <w:rtl/>
        </w:rPr>
        <w:t xml:space="preserve">כך למשל, כאשר </w:t>
      </w:r>
      <w:proofErr w:type="spellStart"/>
      <w:r w:rsidR="00BC49C7">
        <w:rPr>
          <w:rFonts w:hint="cs"/>
          <w:rtl/>
        </w:rPr>
        <w:t>נסימי</w:t>
      </w:r>
      <w:proofErr w:type="spellEnd"/>
      <w:r w:rsidR="00BC49C7">
        <w:rPr>
          <w:rFonts w:hint="cs"/>
          <w:rtl/>
        </w:rPr>
        <w:t xml:space="preserve"> נשאל על ידי בית המשפט "</w:t>
      </w:r>
      <w:r w:rsidR="00BC49C7" w:rsidRPr="00BC49C7">
        <w:rPr>
          <w:rFonts w:ascii="Century" w:hAnsi="Century" w:cs="Miriam" w:hint="cs"/>
          <w:b/>
          <w:spacing w:val="0"/>
          <w:sz w:val="22"/>
          <w:szCs w:val="24"/>
          <w:rtl/>
        </w:rPr>
        <w:t xml:space="preserve">האם ענין אותך כשהגעת לשם כמפקד </w:t>
      </w:r>
      <w:proofErr w:type="spellStart"/>
      <w:r w:rsidR="00BC49C7" w:rsidRPr="00BC49C7">
        <w:rPr>
          <w:rFonts w:ascii="Century" w:hAnsi="Century" w:cs="Miriam" w:hint="cs"/>
          <w:b/>
          <w:spacing w:val="0"/>
          <w:sz w:val="22"/>
          <w:szCs w:val="24"/>
          <w:rtl/>
        </w:rPr>
        <w:t>הכח</w:t>
      </w:r>
      <w:proofErr w:type="spellEnd"/>
      <w:r w:rsidR="00BC49C7" w:rsidRPr="00BC49C7">
        <w:rPr>
          <w:rFonts w:ascii="Century" w:hAnsi="Century" w:cs="Miriam" w:hint="cs"/>
          <w:b/>
          <w:spacing w:val="0"/>
          <w:sz w:val="22"/>
          <w:szCs w:val="24"/>
          <w:rtl/>
        </w:rPr>
        <w:t xml:space="preserve"> מי גר בכל קרוואן</w:t>
      </w:r>
      <w:r w:rsidR="00BC49C7">
        <w:rPr>
          <w:rFonts w:hint="cs"/>
          <w:rtl/>
        </w:rPr>
        <w:t>", השיב "</w:t>
      </w:r>
      <w:r w:rsidR="00BC49C7" w:rsidRPr="00BC49C7">
        <w:rPr>
          <w:rFonts w:ascii="Century" w:hAnsi="Century" w:cs="Miriam" w:hint="cs"/>
          <w:b/>
          <w:spacing w:val="0"/>
          <w:sz w:val="22"/>
          <w:szCs w:val="24"/>
          <w:rtl/>
        </w:rPr>
        <w:t>לא עניין אותי</w:t>
      </w:r>
      <w:r w:rsidR="00BC49C7">
        <w:rPr>
          <w:rFonts w:hint="cs"/>
          <w:rtl/>
        </w:rPr>
        <w:t>" (שם, עמ' 34, ש' 5-4), וזאת על אף שידע מראש כי יש שני קרוואנים במתחם (שם, בעמ' 33, ש' 32-30). שוטר אחר, עידו אנג'ל, העיד "</w:t>
      </w:r>
      <w:r w:rsidR="00BC49C7" w:rsidRPr="00BC49C7">
        <w:rPr>
          <w:rFonts w:ascii="Century" w:hAnsi="Century" w:cs="Miriam" w:hint="cs"/>
          <w:b/>
          <w:spacing w:val="0"/>
          <w:sz w:val="22"/>
          <w:szCs w:val="24"/>
          <w:rtl/>
        </w:rPr>
        <w:t xml:space="preserve">ברגע שיש צו חיפוש על תצ"א כל </w:t>
      </w:r>
      <w:proofErr w:type="spellStart"/>
      <w:r w:rsidR="00BC49C7" w:rsidRPr="00BC49C7">
        <w:rPr>
          <w:rFonts w:ascii="Century" w:hAnsi="Century" w:cs="Miriam" w:hint="cs"/>
          <w:b/>
          <w:spacing w:val="0"/>
          <w:sz w:val="22"/>
          <w:szCs w:val="24"/>
          <w:rtl/>
        </w:rPr>
        <w:t>התצ"א</w:t>
      </w:r>
      <w:proofErr w:type="spellEnd"/>
      <w:r w:rsidR="00BC49C7" w:rsidRPr="00BC49C7">
        <w:rPr>
          <w:rFonts w:ascii="Century" w:hAnsi="Century" w:cs="Miriam" w:hint="cs"/>
          <w:b/>
          <w:spacing w:val="0"/>
          <w:sz w:val="22"/>
          <w:szCs w:val="24"/>
          <w:rtl/>
        </w:rPr>
        <w:t xml:space="preserve"> היא המתחם [...]</w:t>
      </w:r>
      <w:r w:rsidR="00BC49C7">
        <w:rPr>
          <w:rFonts w:hint="cs"/>
          <w:rtl/>
        </w:rPr>
        <w:t xml:space="preserve">" (שם, עמ' 36, ש' 16); וכך גם העיד השוטר נחמיה קובני: </w:t>
      </w:r>
      <w:r w:rsidR="0085672B">
        <w:rPr>
          <w:rFonts w:hint="cs"/>
          <w:rtl/>
        </w:rPr>
        <w:t>"</w:t>
      </w:r>
      <w:r w:rsidR="0085672B" w:rsidRPr="0085672B">
        <w:rPr>
          <w:rFonts w:ascii="Century" w:hAnsi="Century" w:cs="Miriam" w:hint="cs"/>
          <w:b/>
          <w:spacing w:val="0"/>
          <w:sz w:val="22"/>
          <w:szCs w:val="24"/>
          <w:rtl/>
        </w:rPr>
        <w:t>אני יכול לחפש בכל המתחם גם אם זה של נשוא הצו, גם אם זה חלק לא של נשוא הצו אבל זה המתחם</w:t>
      </w:r>
      <w:r w:rsidR="005F601B">
        <w:rPr>
          <w:rFonts w:hint="cs"/>
          <w:rtl/>
        </w:rPr>
        <w:t xml:space="preserve">" (שם, </w:t>
      </w:r>
      <w:r w:rsidR="0085672B">
        <w:rPr>
          <w:rFonts w:hint="cs"/>
          <w:rtl/>
        </w:rPr>
        <w:t xml:space="preserve">עמ' 29, ש' 30). </w:t>
      </w:r>
    </w:p>
    <w:p w:rsidR="005D0160" w:rsidRDefault="0085672B" w:rsidP="00CA5A39">
      <w:pPr>
        <w:pStyle w:val="Ruller41"/>
        <w:tabs>
          <w:tab w:val="clear" w:pos="907"/>
        </w:tabs>
        <w:overflowPunct/>
        <w:autoSpaceDE/>
        <w:autoSpaceDN/>
        <w:adjustRightInd/>
        <w:spacing w:after="420"/>
        <w:textAlignment w:val="auto"/>
        <w:rPr>
          <w:rtl/>
        </w:rPr>
      </w:pPr>
      <w:r>
        <w:rPr>
          <w:rtl/>
        </w:rPr>
        <w:tab/>
      </w:r>
      <w:r w:rsidR="00CA5A39">
        <w:rPr>
          <w:rFonts w:hint="cs"/>
          <w:rtl/>
        </w:rPr>
        <w:t xml:space="preserve">גישה זו איננה מקובלת עלי כלל ועיקר. </w:t>
      </w:r>
      <w:r w:rsidR="001B0AFB">
        <w:rPr>
          <w:rFonts w:hint="cs"/>
          <w:rtl/>
        </w:rPr>
        <w:t>לעניין זה, אני שותף לעמדת בית משפט השלום</w:t>
      </w:r>
      <w:r>
        <w:rPr>
          <w:rFonts w:hint="cs"/>
          <w:rtl/>
        </w:rPr>
        <w:t xml:space="preserve"> </w:t>
      </w:r>
      <w:r w:rsidR="001B0AFB">
        <w:rPr>
          <w:rFonts w:hint="cs"/>
          <w:rtl/>
        </w:rPr>
        <w:t xml:space="preserve">אשר דחה בתוקף פרשנות </w:t>
      </w:r>
      <w:r w:rsidR="00CA5A39">
        <w:rPr>
          <w:rFonts w:hint="cs"/>
          <w:rtl/>
        </w:rPr>
        <w:t>רחבה מעין זו</w:t>
      </w:r>
      <w:r w:rsidR="001B0AFB">
        <w:rPr>
          <w:rFonts w:hint="cs"/>
          <w:rtl/>
        </w:rPr>
        <w:t xml:space="preserve"> לצו החיפוש. </w:t>
      </w:r>
      <w:r w:rsidR="00E26866">
        <w:rPr>
          <w:rFonts w:hint="cs"/>
          <w:rtl/>
        </w:rPr>
        <w:t xml:space="preserve">צו החיפוש התייחס במפורש למחזיק </w:t>
      </w:r>
      <w:r w:rsidR="00CA5A39">
        <w:rPr>
          <w:rFonts w:hint="cs"/>
          <w:rtl/>
        </w:rPr>
        <w:t xml:space="preserve">ששמו </w:t>
      </w:r>
      <w:r w:rsidR="00E26866">
        <w:rPr>
          <w:rFonts w:hint="cs"/>
          <w:rtl/>
        </w:rPr>
        <w:t>שלתיאל</w:t>
      </w:r>
      <w:r w:rsidR="009710D0">
        <w:rPr>
          <w:rFonts w:hint="cs"/>
          <w:rtl/>
        </w:rPr>
        <w:t xml:space="preserve">, שבעניינו התגבש </w:t>
      </w:r>
      <w:r w:rsidR="00325F79">
        <w:rPr>
          <w:rFonts w:hint="cs"/>
          <w:rtl/>
        </w:rPr>
        <w:t>ה</w:t>
      </w:r>
      <w:r w:rsidR="009710D0">
        <w:rPr>
          <w:rFonts w:hint="cs"/>
          <w:rtl/>
        </w:rPr>
        <w:t xml:space="preserve">מידע </w:t>
      </w:r>
      <w:r w:rsidR="00325F79">
        <w:rPr>
          <w:rFonts w:hint="cs"/>
          <w:rtl/>
        </w:rPr>
        <w:t>שה</w:t>
      </w:r>
      <w:r w:rsidR="009710D0">
        <w:rPr>
          <w:rFonts w:hint="cs"/>
          <w:rtl/>
        </w:rPr>
        <w:t>צדיק</w:t>
      </w:r>
      <w:r w:rsidR="00325F79">
        <w:rPr>
          <w:rFonts w:hint="cs"/>
          <w:rtl/>
        </w:rPr>
        <w:t xml:space="preserve"> את</w:t>
      </w:r>
      <w:r w:rsidR="009710D0">
        <w:rPr>
          <w:rFonts w:hint="cs"/>
          <w:rtl/>
        </w:rPr>
        <w:t xml:space="preserve"> </w:t>
      </w:r>
      <w:r w:rsidR="007D3A5A">
        <w:rPr>
          <w:rFonts w:hint="cs"/>
          <w:rtl/>
        </w:rPr>
        <w:t>מתן הצו</w:t>
      </w:r>
      <w:r>
        <w:rPr>
          <w:rFonts w:hint="cs"/>
          <w:rtl/>
        </w:rPr>
        <w:t>.</w:t>
      </w:r>
      <w:r w:rsidR="00F1578F">
        <w:rPr>
          <w:rFonts w:hint="cs"/>
          <w:rtl/>
        </w:rPr>
        <w:t xml:space="preserve"> </w:t>
      </w:r>
      <w:r w:rsidR="001B0AFB">
        <w:rPr>
          <w:rFonts w:hint="cs"/>
          <w:rtl/>
        </w:rPr>
        <w:t>שלתיאל גר בקרוואן אחר, המו</w:t>
      </w:r>
      <w:r w:rsidR="00DA1BAE">
        <w:rPr>
          <w:rFonts w:hint="cs"/>
          <w:rtl/>
        </w:rPr>
        <w:t>קף גדר ואשר רחוק עשרות מטרים מ</w:t>
      </w:r>
      <w:r w:rsidR="001B0AFB">
        <w:rPr>
          <w:rFonts w:hint="cs"/>
          <w:rtl/>
        </w:rPr>
        <w:t>הקרוואן שבו מתגורר המערער.</w:t>
      </w:r>
      <w:r>
        <w:rPr>
          <w:rFonts w:hint="cs"/>
          <w:rtl/>
        </w:rPr>
        <w:t xml:space="preserve"> </w:t>
      </w:r>
      <w:r w:rsidR="00E26866">
        <w:rPr>
          <w:rFonts w:hint="cs"/>
          <w:rtl/>
        </w:rPr>
        <w:t xml:space="preserve">על כן, החיפוש בקרוואן של המערער הוא בגדר תקלה משמעותית. </w:t>
      </w:r>
      <w:r w:rsidR="00F1578F">
        <w:rPr>
          <w:rFonts w:hint="cs"/>
          <w:rtl/>
        </w:rPr>
        <w:t xml:space="preserve">מעבר לכך, </w:t>
      </w:r>
      <w:r w:rsidR="00136CDA">
        <w:rPr>
          <w:rFonts w:hint="cs"/>
          <w:rtl/>
        </w:rPr>
        <w:t xml:space="preserve">בשום פנים ואופן, לא יכולה המשטרה </w:t>
      </w:r>
      <w:r w:rsidR="00F1578F">
        <w:rPr>
          <w:rFonts w:hint="cs"/>
          <w:rtl/>
        </w:rPr>
        <w:t xml:space="preserve">להפגין </w:t>
      </w:r>
      <w:r w:rsidR="00136CDA">
        <w:rPr>
          <w:rFonts w:hint="cs"/>
          <w:rtl/>
        </w:rPr>
        <w:t>שווי</w:t>
      </w:r>
      <w:r w:rsidR="007D3A5A">
        <w:rPr>
          <w:rFonts w:hint="cs"/>
          <w:rtl/>
        </w:rPr>
        <w:t>ון נפש כלפי אפשרות ביצוע חיפוש</w:t>
      </w:r>
      <w:r w:rsidR="00F1578F">
        <w:rPr>
          <w:rFonts w:hint="cs"/>
          <w:rtl/>
        </w:rPr>
        <w:t xml:space="preserve"> </w:t>
      </w:r>
      <w:r w:rsidR="00136CDA">
        <w:rPr>
          <w:rFonts w:hint="cs"/>
          <w:rtl/>
        </w:rPr>
        <w:t>ללא צו</w:t>
      </w:r>
      <w:r w:rsidR="007D3A5A">
        <w:rPr>
          <w:rFonts w:hint="cs"/>
          <w:rtl/>
        </w:rPr>
        <w:t xml:space="preserve"> במקרקעין</w:t>
      </w:r>
      <w:r w:rsidR="00F1578F">
        <w:rPr>
          <w:rFonts w:hint="cs"/>
          <w:rtl/>
        </w:rPr>
        <w:t xml:space="preserve"> של אדם שאין לו, </w:t>
      </w:r>
      <w:r w:rsidR="001B0AFB">
        <w:rPr>
          <w:rFonts w:hint="cs"/>
          <w:rtl/>
        </w:rPr>
        <w:t>למיטב ידיעתה</w:t>
      </w:r>
      <w:r w:rsidR="00F1578F">
        <w:rPr>
          <w:rFonts w:hint="cs"/>
          <w:rtl/>
        </w:rPr>
        <w:t>, כל קשר לחשדות</w:t>
      </w:r>
      <w:r w:rsidR="001B0AFB">
        <w:rPr>
          <w:rFonts w:hint="cs"/>
          <w:rtl/>
        </w:rPr>
        <w:t xml:space="preserve"> שהובילו למתן הצו. </w:t>
      </w:r>
      <w:r w:rsidR="00F1578F">
        <w:rPr>
          <w:rFonts w:hint="cs"/>
          <w:rtl/>
        </w:rPr>
        <w:t>אם כן, נקודת המוצא של ההליך שלפנינו הייתה צריכה להיות כי הליך הוצאת הצו</w:t>
      </w:r>
      <w:r w:rsidR="001B0AFB">
        <w:rPr>
          <w:rFonts w:hint="cs"/>
          <w:rtl/>
        </w:rPr>
        <w:t xml:space="preserve"> ויישומו</w:t>
      </w:r>
      <w:r w:rsidR="00F1578F">
        <w:rPr>
          <w:rFonts w:hint="cs"/>
          <w:rtl/>
        </w:rPr>
        <w:t xml:space="preserve"> הוביל</w:t>
      </w:r>
      <w:r w:rsidR="001B0AFB">
        <w:rPr>
          <w:rFonts w:hint="cs"/>
          <w:rtl/>
        </w:rPr>
        <w:t>ו</w:t>
      </w:r>
      <w:r w:rsidR="00F1578F">
        <w:rPr>
          <w:rFonts w:hint="cs"/>
          <w:rtl/>
        </w:rPr>
        <w:t xml:space="preserve"> לתקלה, </w:t>
      </w:r>
      <w:r w:rsidR="001B0AFB">
        <w:rPr>
          <w:rFonts w:hint="cs"/>
          <w:rtl/>
        </w:rPr>
        <w:t>אשר כעת</w:t>
      </w:r>
      <w:r w:rsidR="00F1578F">
        <w:rPr>
          <w:rFonts w:hint="cs"/>
          <w:rtl/>
        </w:rPr>
        <w:t xml:space="preserve"> יש לדון במשמעויות</w:t>
      </w:r>
      <w:r w:rsidR="001B0AFB">
        <w:rPr>
          <w:rFonts w:hint="cs"/>
          <w:rtl/>
        </w:rPr>
        <w:t>יה</w:t>
      </w:r>
      <w:r w:rsidR="00F1578F">
        <w:rPr>
          <w:rFonts w:hint="cs"/>
          <w:rtl/>
        </w:rPr>
        <w:t xml:space="preserve"> הראייתיות. </w:t>
      </w:r>
    </w:p>
    <w:p w:rsidR="005B141F" w:rsidRDefault="005B141F" w:rsidP="001625A8">
      <w:pPr>
        <w:pStyle w:val="Ruller4"/>
        <w:rPr>
          <w:rtl/>
        </w:rPr>
      </w:pPr>
      <w:r>
        <w:rPr>
          <w:rtl/>
        </w:rPr>
        <w:tab/>
      </w:r>
      <w:r w:rsidR="007D3A5A">
        <w:rPr>
          <w:rFonts w:hint="cs"/>
          <w:rtl/>
        </w:rPr>
        <w:t xml:space="preserve">זאת ועוד, </w:t>
      </w:r>
      <w:r>
        <w:rPr>
          <w:rFonts w:hint="cs"/>
          <w:rtl/>
        </w:rPr>
        <w:t>מעיון במסמכים אשר הונחו לפני השופטת שדנה בבקשה</w:t>
      </w:r>
      <w:r w:rsidR="007D3A5A">
        <w:rPr>
          <w:rFonts w:hint="cs"/>
          <w:rtl/>
        </w:rPr>
        <w:t xml:space="preserve"> למתן צו החיפוש</w:t>
      </w:r>
      <w:r>
        <w:rPr>
          <w:rFonts w:hint="cs"/>
          <w:rtl/>
        </w:rPr>
        <w:t xml:space="preserve">, התרשמתי, בדומה לבית משפט השלום, כי הצו לא ניתן </w:t>
      </w:r>
      <w:r w:rsidR="007D3A5A">
        <w:rPr>
          <w:rFonts w:hint="cs"/>
          <w:rtl/>
        </w:rPr>
        <w:t>תוך שקלול אפשרות הפגיעה בצדדים שלישיים</w:t>
      </w:r>
      <w:r>
        <w:rPr>
          <w:rFonts w:hint="cs"/>
          <w:rtl/>
        </w:rPr>
        <w:t xml:space="preserve">. נהפוך הוא: במזכר ההבהרה שצורף לבקשה למתן צו החיפוש </w:t>
      </w:r>
      <w:r w:rsidR="007D3A5A">
        <w:rPr>
          <w:rFonts w:hint="cs"/>
          <w:rtl/>
        </w:rPr>
        <w:t>נכתב</w:t>
      </w:r>
      <w:r>
        <w:rPr>
          <w:rFonts w:hint="cs"/>
          <w:rtl/>
        </w:rPr>
        <w:t xml:space="preserve"> כי השטח </w:t>
      </w:r>
      <w:r w:rsidR="00C37A10">
        <w:rPr>
          <w:rFonts w:hint="cs"/>
          <w:rtl/>
        </w:rPr>
        <w:t>שבתצלום האוויר</w:t>
      </w:r>
      <w:r>
        <w:rPr>
          <w:rFonts w:hint="cs"/>
          <w:rtl/>
        </w:rPr>
        <w:t xml:space="preserve"> הוא "</w:t>
      </w:r>
      <w:r w:rsidRPr="00412605">
        <w:rPr>
          <w:rFonts w:ascii="Century" w:hAnsi="Century" w:cs="Miriam" w:hint="cs"/>
          <w:b/>
          <w:spacing w:val="0"/>
          <w:szCs w:val="24"/>
          <w:rtl/>
        </w:rPr>
        <w:t>מעבר לכל ספק מקום מגורו הנוכחי</w:t>
      </w:r>
      <w:r>
        <w:rPr>
          <w:rFonts w:hint="cs"/>
          <w:rtl/>
        </w:rPr>
        <w:t>" של שלתיאל.</w:t>
      </w:r>
      <w:r w:rsidR="007D3A5A">
        <w:rPr>
          <w:rFonts w:hint="cs"/>
          <w:rtl/>
        </w:rPr>
        <w:t xml:space="preserve"> </w:t>
      </w:r>
      <w:r w:rsidR="0025316E">
        <w:rPr>
          <w:rFonts w:hint="cs"/>
          <w:rtl/>
        </w:rPr>
        <w:t xml:space="preserve">אמנם </w:t>
      </w:r>
      <w:r w:rsidR="007D3A5A">
        <w:rPr>
          <w:rFonts w:hint="cs"/>
          <w:rtl/>
        </w:rPr>
        <w:t xml:space="preserve">לא נכתב במפורש כי מדובר במקום מגוריו של שלתיאל </w:t>
      </w:r>
      <w:r w:rsidR="007D3A5A" w:rsidRPr="007D3A5A">
        <w:rPr>
          <w:rFonts w:ascii="Century" w:hAnsi="Century" w:cs="Miriam" w:hint="cs"/>
          <w:b/>
          <w:spacing w:val="0"/>
          <w:szCs w:val="24"/>
          <w:rtl/>
        </w:rPr>
        <w:t>בלבד</w:t>
      </w:r>
      <w:r w:rsidR="007D3A5A">
        <w:rPr>
          <w:rFonts w:hint="cs"/>
          <w:rtl/>
        </w:rPr>
        <w:t xml:space="preserve">, </w:t>
      </w:r>
      <w:r w:rsidR="0025316E">
        <w:rPr>
          <w:rFonts w:hint="cs"/>
          <w:rtl/>
        </w:rPr>
        <w:t>אך</w:t>
      </w:r>
      <w:r w:rsidR="007D3A5A">
        <w:rPr>
          <w:rFonts w:hint="cs"/>
          <w:rtl/>
        </w:rPr>
        <w:t xml:space="preserve"> הרושם שנוצר אצל בית המשפט שהעניק את צו החיפוש הוא ברור, וממילא אין כל אינדיקציה לכך שהתכוון להעניק צו כה גורף אשר חל על מלוא השטח המסומן </w:t>
      </w:r>
      <w:r w:rsidR="00C37A10">
        <w:rPr>
          <w:rFonts w:hint="cs"/>
          <w:rtl/>
        </w:rPr>
        <w:t>בתצלום</w:t>
      </w:r>
      <w:r w:rsidR="007D3A5A">
        <w:rPr>
          <w:rFonts w:hint="cs"/>
          <w:rtl/>
        </w:rPr>
        <w:t xml:space="preserve">, </w:t>
      </w:r>
      <w:r w:rsidR="001625A8">
        <w:rPr>
          <w:rFonts w:hint="cs"/>
          <w:rtl/>
        </w:rPr>
        <w:t>יהיו המחזיקים בו אשר יהיו</w:t>
      </w:r>
      <w:r w:rsidR="007D3A5A">
        <w:rPr>
          <w:rFonts w:hint="cs"/>
          <w:rtl/>
        </w:rPr>
        <w:t xml:space="preserve">. </w:t>
      </w:r>
    </w:p>
    <w:p w:rsidR="005B141F" w:rsidRPr="005B141F" w:rsidRDefault="005B141F" w:rsidP="005B141F">
      <w:pPr>
        <w:pStyle w:val="Ruller4"/>
        <w:rPr>
          <w:rtl/>
        </w:rPr>
      </w:pPr>
    </w:p>
    <w:p w:rsidR="001B45C5" w:rsidRDefault="001B45C5" w:rsidP="00C37A10">
      <w:pPr>
        <w:pStyle w:val="Ruller4"/>
        <w:rPr>
          <w:rtl/>
        </w:rPr>
      </w:pPr>
      <w:r>
        <w:rPr>
          <w:rtl/>
        </w:rPr>
        <w:tab/>
      </w:r>
      <w:r w:rsidR="0025316E">
        <w:rPr>
          <w:rFonts w:hint="cs"/>
          <w:rtl/>
        </w:rPr>
        <w:t xml:space="preserve">אגב כך </w:t>
      </w:r>
      <w:r>
        <w:rPr>
          <w:rFonts w:hint="cs"/>
          <w:rtl/>
        </w:rPr>
        <w:t xml:space="preserve">יודגש, </w:t>
      </w:r>
      <w:r w:rsidR="007D3A5A">
        <w:rPr>
          <w:rFonts w:hint="cs"/>
          <w:rtl/>
        </w:rPr>
        <w:t xml:space="preserve">על רקע החששות אשר הועלו על ידי המשיבה, כי </w:t>
      </w:r>
      <w:r>
        <w:rPr>
          <w:rFonts w:hint="cs"/>
          <w:rtl/>
        </w:rPr>
        <w:t xml:space="preserve">האפשרות לעשות שימוש </w:t>
      </w:r>
      <w:r w:rsidR="00C37A10">
        <w:rPr>
          <w:rFonts w:hint="cs"/>
          <w:rtl/>
        </w:rPr>
        <w:t>בתצלום אוויר</w:t>
      </w:r>
      <w:r>
        <w:rPr>
          <w:rFonts w:hint="cs"/>
          <w:rtl/>
        </w:rPr>
        <w:t xml:space="preserve"> כתחליף לכתובת עודנה קיימת. </w:t>
      </w:r>
      <w:r w:rsidR="005B141F">
        <w:rPr>
          <w:rFonts w:hint="cs"/>
          <w:rtl/>
        </w:rPr>
        <w:t xml:space="preserve">אף </w:t>
      </w:r>
      <w:r>
        <w:rPr>
          <w:rFonts w:hint="cs"/>
          <w:rtl/>
        </w:rPr>
        <w:t>אין לשלול מצב שבו יש מידע מודיעיני המצדיק מתן צו חיפוש בתא שטח מסוים, וכי יינתן צו חיפוש ביחס לו הגם שהצו יכול להוביל לפגיעה בזכויותיהם של צדדים שלישיים. אולם, זאת יש לעשות באופן מושכל ומחושב</w:t>
      </w:r>
      <w:r w:rsidR="0025316E">
        <w:rPr>
          <w:rFonts w:hint="cs"/>
          <w:rtl/>
        </w:rPr>
        <w:t xml:space="preserve"> כנגזר מנסיבות המקרה</w:t>
      </w:r>
      <w:r>
        <w:rPr>
          <w:rFonts w:hint="cs"/>
          <w:rtl/>
        </w:rPr>
        <w:t xml:space="preserve">. השימוש </w:t>
      </w:r>
      <w:r w:rsidR="00C37A10">
        <w:rPr>
          <w:rFonts w:hint="cs"/>
          <w:rtl/>
        </w:rPr>
        <w:t>בתצלום</w:t>
      </w:r>
      <w:r>
        <w:rPr>
          <w:rFonts w:hint="cs"/>
          <w:rtl/>
        </w:rPr>
        <w:t xml:space="preserve"> כאמצעי מרחיב לצו החיפוש, באופן כמעט אקראי, כפי שנעשה בהליך זה, הוא שאין לקבל. </w:t>
      </w:r>
    </w:p>
    <w:p w:rsidR="001B45C5" w:rsidRPr="001B45C5" w:rsidRDefault="001B45C5" w:rsidP="001B45C5">
      <w:pPr>
        <w:pStyle w:val="Ruller4"/>
        <w:rPr>
          <w:rtl/>
        </w:rPr>
      </w:pPr>
      <w:r>
        <w:rPr>
          <w:rFonts w:hint="cs"/>
          <w:rtl/>
        </w:rPr>
        <w:t xml:space="preserve"> </w:t>
      </w:r>
    </w:p>
    <w:p w:rsidR="007D3A5A" w:rsidRDefault="00F1578F" w:rsidP="00260733">
      <w:pPr>
        <w:pStyle w:val="Ruller41"/>
        <w:numPr>
          <w:ilvl w:val="0"/>
          <w:numId w:val="11"/>
        </w:numPr>
        <w:overflowPunct/>
        <w:autoSpaceDE/>
        <w:autoSpaceDN/>
        <w:adjustRightInd/>
        <w:spacing w:after="420"/>
        <w:textAlignment w:val="auto"/>
      </w:pPr>
      <w:r w:rsidRPr="00F1578F">
        <w:rPr>
          <w:rFonts w:ascii="Century" w:hAnsi="Century" w:cs="Miriam" w:hint="cs"/>
          <w:b/>
          <w:spacing w:val="0"/>
          <w:sz w:val="22"/>
          <w:szCs w:val="24"/>
          <w:rtl/>
        </w:rPr>
        <w:t>רביעית</w:t>
      </w:r>
      <w:r w:rsidR="005D0160">
        <w:rPr>
          <w:rFonts w:hint="cs"/>
          <w:rtl/>
        </w:rPr>
        <w:t xml:space="preserve">, החיפוש </w:t>
      </w:r>
      <w:r w:rsidR="008877B5">
        <w:rPr>
          <w:rFonts w:hint="cs"/>
          <w:rtl/>
        </w:rPr>
        <w:t>עצמו בוצע ללא שני עדים כמתחייב מסעיף 26 לפקודה</w:t>
      </w:r>
      <w:r w:rsidR="007D3A5A">
        <w:rPr>
          <w:rFonts w:hint="cs"/>
          <w:rtl/>
        </w:rPr>
        <w:t xml:space="preserve"> (על חשיבות ההקפדה על הוראות סעיף זה, </w:t>
      </w:r>
      <w:r w:rsidR="007D3A5A" w:rsidRPr="007D3A5A">
        <w:rPr>
          <w:rFonts w:hint="cs"/>
          <w:rtl/>
        </w:rPr>
        <w:t xml:space="preserve">ראו </w:t>
      </w:r>
      <w:r w:rsidR="007D3A5A" w:rsidRPr="007D3A5A">
        <w:rPr>
          <w:rtl/>
        </w:rPr>
        <w:t xml:space="preserve">ע"פ 482/20 </w:t>
      </w:r>
      <w:r w:rsidR="007D3A5A" w:rsidRPr="007D3A5A">
        <w:rPr>
          <w:rFonts w:ascii="Century" w:hAnsi="Century" w:cs="Miriam"/>
          <w:b/>
          <w:spacing w:val="0"/>
          <w:sz w:val="22"/>
          <w:szCs w:val="24"/>
          <w:rtl/>
        </w:rPr>
        <w:t>מטר נ' מדינת ישראל</w:t>
      </w:r>
      <w:r w:rsidR="00316615">
        <w:rPr>
          <w:rFonts w:hint="cs"/>
          <w:rtl/>
        </w:rPr>
        <w:t xml:space="preserve">, פסקה 11 </w:t>
      </w:r>
      <w:r w:rsidR="007D3A5A" w:rsidRPr="007D3A5A">
        <w:rPr>
          <w:rtl/>
        </w:rPr>
        <w:t>(</w:t>
      </w:r>
      <w:r w:rsidR="007D3A5A">
        <w:rPr>
          <w:rFonts w:hint="cs"/>
          <w:rtl/>
        </w:rPr>
        <w:t>4</w:t>
      </w:r>
      <w:r w:rsidR="007D3A5A" w:rsidRPr="007D3A5A">
        <w:rPr>
          <w:rtl/>
        </w:rPr>
        <w:t>.</w:t>
      </w:r>
      <w:r w:rsidR="007D3A5A">
        <w:rPr>
          <w:rFonts w:hint="cs"/>
          <w:rtl/>
        </w:rPr>
        <w:t>6</w:t>
      </w:r>
      <w:r w:rsidR="007D3A5A" w:rsidRPr="007D3A5A">
        <w:rPr>
          <w:rtl/>
        </w:rPr>
        <w:t>.2020)</w:t>
      </w:r>
      <w:r w:rsidR="007D3A5A">
        <w:rPr>
          <w:rFonts w:hint="cs"/>
          <w:rtl/>
        </w:rPr>
        <w:t xml:space="preserve">; </w:t>
      </w:r>
      <w:r w:rsidR="00B53CA0">
        <w:rPr>
          <w:rFonts w:hint="cs"/>
          <w:rtl/>
        </w:rPr>
        <w:t xml:space="preserve">וכן: </w:t>
      </w:r>
      <w:r w:rsidR="00B53CA0" w:rsidRPr="00B53CA0">
        <w:rPr>
          <w:rFonts w:ascii="Century" w:hAnsi="Century" w:cs="Miriam" w:hint="cs"/>
          <w:b/>
          <w:spacing w:val="0"/>
          <w:sz w:val="22"/>
          <w:szCs w:val="24"/>
          <w:rtl/>
        </w:rPr>
        <w:t>קדמי</w:t>
      </w:r>
      <w:r w:rsidR="00B53CA0">
        <w:rPr>
          <w:rFonts w:hint="cs"/>
          <w:rtl/>
        </w:rPr>
        <w:t>, בעמ' 684</w:t>
      </w:r>
      <w:r w:rsidR="007D3A5A">
        <w:rPr>
          <w:rFonts w:hint="cs"/>
          <w:rtl/>
        </w:rPr>
        <w:t>), ובניגוד לדרישה זו שנכללה במפורש גם בצו החיפוש עצמו</w:t>
      </w:r>
      <w:r w:rsidR="008877B5">
        <w:rPr>
          <w:rFonts w:hint="cs"/>
          <w:rtl/>
        </w:rPr>
        <w:t xml:space="preserve">. </w:t>
      </w:r>
      <w:r w:rsidR="00986EEE">
        <w:rPr>
          <w:rFonts w:hint="cs"/>
          <w:rtl/>
        </w:rPr>
        <w:t xml:space="preserve">מדובר בפגם חמור כשלעצמו, ופי-כמה </w:t>
      </w:r>
      <w:r w:rsidR="00B53CA0">
        <w:rPr>
          <w:rFonts w:hint="cs"/>
          <w:rtl/>
        </w:rPr>
        <w:t>בהתחשב ב</w:t>
      </w:r>
      <w:r w:rsidR="00986EEE">
        <w:rPr>
          <w:rFonts w:hint="cs"/>
          <w:rtl/>
        </w:rPr>
        <w:t>יתר נסיבות המקרה.</w:t>
      </w:r>
    </w:p>
    <w:p w:rsidR="005557E1" w:rsidRDefault="0025316E" w:rsidP="00C37A10">
      <w:pPr>
        <w:pStyle w:val="Ruller41"/>
        <w:numPr>
          <w:ilvl w:val="0"/>
          <w:numId w:val="11"/>
        </w:numPr>
        <w:overflowPunct/>
        <w:autoSpaceDE/>
        <w:autoSpaceDN/>
        <w:adjustRightInd/>
        <w:spacing w:after="420"/>
        <w:textAlignment w:val="auto"/>
      </w:pPr>
      <w:r>
        <w:rPr>
          <w:rFonts w:hint="cs"/>
          <w:rtl/>
        </w:rPr>
        <w:t xml:space="preserve">משעד כה נימקתי מדוע צו החיפוש שניתן אינו חל על הקרוואן שבו מתגורר המערער, אדרש לטענות החלופיות שהועלו על ידי המשיבה בניסיון לאתר עוגן חוקי לביצוע החיפוש. תחילה, </w:t>
      </w:r>
      <w:r w:rsidR="00260733">
        <w:rPr>
          <w:rFonts w:hint="cs"/>
          <w:rtl/>
        </w:rPr>
        <w:t xml:space="preserve">איני רואה </w:t>
      </w:r>
      <w:r w:rsidR="003E6A18">
        <w:rPr>
          <w:rFonts w:hint="cs"/>
          <w:rtl/>
        </w:rPr>
        <w:t xml:space="preserve">ממש בטענות המשיבה בדבר ביסוס החיפוש על קיומו של חשד סביר. על פי הנטען, הכניסה לקרוואן שבו מתגורר המערער נעשתה בעת שהשוטרים לא ידעו </w:t>
      </w:r>
      <w:r>
        <w:rPr>
          <w:rFonts w:hint="cs"/>
          <w:rtl/>
        </w:rPr>
        <w:t>את הכתובת המדויקת של שלתיאל ולאחר ש</w:t>
      </w:r>
      <w:r w:rsidR="003E6A18">
        <w:rPr>
          <w:rFonts w:hint="cs"/>
          <w:rtl/>
        </w:rPr>
        <w:t>הבינו את "טעותם"</w:t>
      </w:r>
      <w:r>
        <w:rPr>
          <w:rFonts w:hint="cs"/>
          <w:rtl/>
        </w:rPr>
        <w:t>,</w:t>
      </w:r>
      <w:r w:rsidR="003E6A18">
        <w:rPr>
          <w:rFonts w:hint="cs"/>
          <w:rtl/>
        </w:rPr>
        <w:t xml:space="preserve"> </w:t>
      </w:r>
      <w:r w:rsidR="00FE4756">
        <w:rPr>
          <w:rFonts w:hint="cs"/>
          <w:rtl/>
        </w:rPr>
        <w:t xml:space="preserve">משנכנסו </w:t>
      </w:r>
      <w:r w:rsidR="00E20E2B">
        <w:rPr>
          <w:rFonts w:hint="cs"/>
          <w:rtl/>
        </w:rPr>
        <w:t xml:space="preserve">הבחינו בסמים והריחו אותם, קמה עילת חיפוש בקרוואן. גם אם במישור העובדתי הייתה מתקבלת גרסה זו, הרי שאין בה כדי לרפא את עיקר הפגם </w:t>
      </w:r>
      <w:r w:rsidR="00E20E2B">
        <w:rPr>
          <w:rtl/>
        </w:rPr>
        <w:t>–</w:t>
      </w:r>
      <w:r w:rsidR="00E20E2B">
        <w:rPr>
          <w:rFonts w:hint="cs"/>
          <w:rtl/>
        </w:rPr>
        <w:t xml:space="preserve"> התפיסה השגויה של צו החיפוש שניתן על בסיס </w:t>
      </w:r>
      <w:r w:rsidR="00C37A10">
        <w:rPr>
          <w:rFonts w:hint="cs"/>
          <w:rtl/>
        </w:rPr>
        <w:t>תצלום האוויר</w:t>
      </w:r>
      <w:r w:rsidR="00E20E2B">
        <w:rPr>
          <w:rFonts w:hint="cs"/>
          <w:rtl/>
        </w:rPr>
        <w:t>.</w:t>
      </w:r>
      <w:r>
        <w:rPr>
          <w:rFonts w:hint="cs"/>
          <w:rtl/>
        </w:rPr>
        <w:t xml:space="preserve"> היינו, </w:t>
      </w:r>
      <w:r w:rsidR="00462435">
        <w:rPr>
          <w:rFonts w:hint="cs"/>
          <w:rtl/>
        </w:rPr>
        <w:t>בין כה וכה</w:t>
      </w:r>
      <w:r>
        <w:rPr>
          <w:rFonts w:hint="cs"/>
          <w:rtl/>
        </w:rPr>
        <w:t xml:space="preserve"> הכניסה הראשונית לקרוואן שבו מתגורר המערער הייתה שלא כדין.</w:t>
      </w:r>
      <w:r w:rsidR="00E20E2B">
        <w:rPr>
          <w:rFonts w:hint="cs"/>
          <w:rtl/>
        </w:rPr>
        <w:t xml:space="preserve"> מעבר </w:t>
      </w:r>
      <w:r w:rsidR="00FE4756">
        <w:rPr>
          <w:rFonts w:hint="cs"/>
          <w:rtl/>
        </w:rPr>
        <w:t xml:space="preserve">לכך, </w:t>
      </w:r>
      <w:r w:rsidR="00E20E2B">
        <w:rPr>
          <w:rFonts w:hint="cs"/>
          <w:rtl/>
        </w:rPr>
        <w:t>בית משפט השלום, אשר שמע לפניו את העדים, הטיל ספק בגרסה שלפ</w:t>
      </w:r>
      <w:r w:rsidR="005557E1">
        <w:rPr>
          <w:rFonts w:hint="cs"/>
          <w:rtl/>
        </w:rPr>
        <w:t>יה דלת הקרוואן הייתה מעט פתוחה.</w:t>
      </w:r>
    </w:p>
    <w:p w:rsidR="00260733" w:rsidRDefault="005557E1" w:rsidP="005557E1">
      <w:pPr>
        <w:pStyle w:val="Ruller41"/>
        <w:tabs>
          <w:tab w:val="clear" w:pos="907"/>
        </w:tabs>
        <w:overflowPunct/>
        <w:autoSpaceDE/>
        <w:autoSpaceDN/>
        <w:adjustRightInd/>
        <w:spacing w:after="420"/>
        <w:textAlignment w:val="auto"/>
      </w:pPr>
      <w:r>
        <w:rPr>
          <w:rtl/>
        </w:rPr>
        <w:tab/>
      </w:r>
      <w:r w:rsidR="00E20E2B">
        <w:rPr>
          <w:rFonts w:hint="cs"/>
          <w:rtl/>
        </w:rPr>
        <w:t xml:space="preserve">באשר לטענה כי נוכחות שלתיאל בקרוואן מקימה עילה נוספת לכניסה ולחיפוש בקרוואן, הרי שמדובר בטענה שהועלתה </w:t>
      </w:r>
      <w:r w:rsidR="00FE4756">
        <w:rPr>
          <w:rFonts w:hint="cs"/>
          <w:rtl/>
        </w:rPr>
        <w:t xml:space="preserve">לפנינו </w:t>
      </w:r>
      <w:r w:rsidR="00E20E2B">
        <w:rPr>
          <w:rFonts w:hint="cs"/>
          <w:rtl/>
        </w:rPr>
        <w:t>באופן לאקוני ביותר ולא נתמכה בטיעון משפטי מבוסס, ולא בכדי. צו החיפוש אינו "עוקב" אחר שלתיאל, ואינו מקנה זכות חיפוש בכל מקום שבו שלתיאל מצוי</w:t>
      </w:r>
      <w:r w:rsidR="0025316E">
        <w:rPr>
          <w:rFonts w:hint="cs"/>
          <w:rtl/>
        </w:rPr>
        <w:t xml:space="preserve"> אלא במקום קונקרטי ביחס לאדם קונקרטי</w:t>
      </w:r>
      <w:r w:rsidR="00E20E2B">
        <w:rPr>
          <w:rFonts w:hint="cs"/>
          <w:rtl/>
        </w:rPr>
        <w:t>. מדובר בצו ביחס לחצרים ספציפיים הנקובים בו (</w:t>
      </w:r>
      <w:r w:rsidR="00E20E2B" w:rsidRPr="00E20E2B">
        <w:rPr>
          <w:rFonts w:ascii="Century" w:hAnsi="Century" w:cs="Miriam" w:hint="cs"/>
          <w:b/>
          <w:spacing w:val="0"/>
          <w:sz w:val="22"/>
          <w:szCs w:val="24"/>
          <w:rtl/>
        </w:rPr>
        <w:t>קדמי</w:t>
      </w:r>
      <w:r w:rsidR="00E20E2B">
        <w:rPr>
          <w:rFonts w:hint="cs"/>
          <w:rtl/>
        </w:rPr>
        <w:t>, בעמ' 680), וכאמור הצו לא התייחס לקרוואן שבו מתגורר המערער. הנה כי כן, מדובר בחיפוש שבוצע שלא כדין, תוך הפרת גבולות</w:t>
      </w:r>
      <w:r w:rsidR="004607A8">
        <w:rPr>
          <w:rFonts w:hint="cs"/>
          <w:rtl/>
        </w:rPr>
        <w:t>יו</w:t>
      </w:r>
      <w:r w:rsidR="0025316E">
        <w:rPr>
          <w:rFonts w:hint="cs"/>
          <w:rtl/>
        </w:rPr>
        <w:t xml:space="preserve"> של הצו</w:t>
      </w:r>
      <w:r w:rsidR="004607A8">
        <w:rPr>
          <w:rFonts w:hint="cs"/>
          <w:rtl/>
        </w:rPr>
        <w:t>.</w:t>
      </w:r>
    </w:p>
    <w:p w:rsidR="00991E47" w:rsidRDefault="007D3A5A" w:rsidP="00CA5A39">
      <w:pPr>
        <w:pStyle w:val="Ruller41"/>
        <w:numPr>
          <w:ilvl w:val="0"/>
          <w:numId w:val="11"/>
        </w:numPr>
        <w:overflowPunct/>
        <w:autoSpaceDE/>
        <w:autoSpaceDN/>
        <w:adjustRightInd/>
        <w:spacing w:after="420"/>
        <w:textAlignment w:val="auto"/>
      </w:pPr>
      <w:r>
        <w:rPr>
          <w:rFonts w:hint="cs"/>
          <w:rtl/>
        </w:rPr>
        <w:t>לנוכח פגמים אלו, ובוודאי בהצטברם, מסקנתי היא שיש לפסול את</w:t>
      </w:r>
      <w:r w:rsidR="00B53CA0">
        <w:rPr>
          <w:rFonts w:hint="cs"/>
          <w:rtl/>
        </w:rPr>
        <w:t xml:space="preserve"> </w:t>
      </w:r>
      <w:r w:rsidR="00260733">
        <w:rPr>
          <w:rFonts w:hint="cs"/>
          <w:rtl/>
        </w:rPr>
        <w:t>הסמים שנתפסו במסגרת החיפוש הלא חוקי</w:t>
      </w:r>
      <w:r>
        <w:rPr>
          <w:rFonts w:hint="cs"/>
          <w:rtl/>
        </w:rPr>
        <w:t xml:space="preserve"> </w:t>
      </w:r>
      <w:r w:rsidR="00B53CA0">
        <w:rPr>
          <w:rFonts w:hint="cs"/>
          <w:rtl/>
        </w:rPr>
        <w:t>מלשמש כראיה</w:t>
      </w:r>
      <w:r w:rsidR="006557D7">
        <w:rPr>
          <w:rFonts w:hint="cs"/>
          <w:rtl/>
        </w:rPr>
        <w:t xml:space="preserve">. זאת, </w:t>
      </w:r>
      <w:r w:rsidR="00260733">
        <w:rPr>
          <w:rFonts w:hint="cs"/>
          <w:rtl/>
        </w:rPr>
        <w:t xml:space="preserve">על בסיס דוקטרינת הפסילה </w:t>
      </w:r>
      <w:r w:rsidR="00CA5A39">
        <w:rPr>
          <w:rFonts w:hint="cs"/>
          <w:rtl/>
        </w:rPr>
        <w:t>החוקתית</w:t>
      </w:r>
      <w:r w:rsidR="000E36BB">
        <w:rPr>
          <w:rFonts w:hint="cs"/>
          <w:rtl/>
        </w:rPr>
        <w:t xml:space="preserve"> שנקבעה בהלכת </w:t>
      </w:r>
      <w:proofErr w:type="spellStart"/>
      <w:r w:rsidR="000E36BB" w:rsidRPr="000E36BB">
        <w:rPr>
          <w:rFonts w:ascii="Century" w:hAnsi="Century" w:cs="Miriam" w:hint="cs"/>
          <w:b/>
          <w:spacing w:val="0"/>
          <w:sz w:val="22"/>
          <w:szCs w:val="24"/>
          <w:rtl/>
        </w:rPr>
        <w:t>יששכרוב</w:t>
      </w:r>
      <w:proofErr w:type="spellEnd"/>
      <w:r w:rsidR="00CA5A39">
        <w:rPr>
          <w:rFonts w:hint="cs"/>
          <w:rtl/>
        </w:rPr>
        <w:t xml:space="preserve"> ובפסקי הדין המאוחרים יותר שניתנו בעקבותיה, </w:t>
      </w:r>
      <w:r w:rsidR="000E36BB">
        <w:rPr>
          <w:rFonts w:hint="cs"/>
          <w:rtl/>
        </w:rPr>
        <w:t>ו</w:t>
      </w:r>
      <w:r w:rsidR="00260733">
        <w:rPr>
          <w:rFonts w:hint="cs"/>
          <w:rtl/>
        </w:rPr>
        <w:t xml:space="preserve">אשר עוגנה כאמור (לאחר האירועים מושא ההליך שלפנינו) בסעיף 56א לפקודת הראיות. </w:t>
      </w:r>
      <w:r w:rsidR="0025316E">
        <w:rPr>
          <w:rFonts w:hint="cs"/>
          <w:rtl/>
        </w:rPr>
        <w:t>על אופן יישומה</w:t>
      </w:r>
      <w:r w:rsidR="00991E47">
        <w:rPr>
          <w:rFonts w:hint="cs"/>
          <w:rtl/>
        </w:rPr>
        <w:t xml:space="preserve"> של </w:t>
      </w:r>
      <w:r w:rsidR="0025316E">
        <w:rPr>
          <w:rFonts w:hint="cs"/>
          <w:rtl/>
        </w:rPr>
        <w:t>הדוקטרינה</w:t>
      </w:r>
      <w:r w:rsidR="00991E47">
        <w:rPr>
          <w:rFonts w:hint="cs"/>
          <w:rtl/>
        </w:rPr>
        <w:t xml:space="preserve">, עמד חברי, השופט </w:t>
      </w:r>
      <w:r w:rsidR="00991E47" w:rsidRPr="000E36BB">
        <w:rPr>
          <w:rFonts w:ascii="Century" w:hAnsi="Century" w:cs="Miriam" w:hint="cs"/>
          <w:b/>
          <w:spacing w:val="0"/>
          <w:sz w:val="22"/>
          <w:szCs w:val="24"/>
          <w:rtl/>
        </w:rPr>
        <w:t>א' שטיין</w:t>
      </w:r>
      <w:r w:rsidR="00991E47">
        <w:rPr>
          <w:rFonts w:hint="cs"/>
          <w:rtl/>
        </w:rPr>
        <w:t>:</w:t>
      </w:r>
    </w:p>
    <w:p w:rsidR="00991E47" w:rsidRPr="00991E47" w:rsidRDefault="00991E47" w:rsidP="005557E1">
      <w:pPr>
        <w:pStyle w:val="Ruller5"/>
        <w:rPr>
          <w:rtl/>
        </w:rPr>
      </w:pPr>
      <w:r w:rsidRPr="00991E47">
        <w:rPr>
          <w:rtl/>
        </w:rPr>
        <w:t xml:space="preserve">"בהקשרו של כלל הפסילה החוקתי, מן הראוי הוא שנחזור ונדגיש כי כלל זה צריך להיות מופעל אך ורק כתגובה להפרתה של אחת מזכויותיו הבסיסיות של נאשם אשר הפרתה, וכן השגת ראיה מפלילה אשר באה בעקבותיה, עולות כדי פגיעה בליבת ההליך ההוגן </w:t>
      </w:r>
      <w:r>
        <w:rPr>
          <w:rFonts w:hint="cs"/>
          <w:rtl/>
        </w:rPr>
        <w:t>[...]</w:t>
      </w:r>
      <w:r w:rsidRPr="00991E47">
        <w:rPr>
          <w:rtl/>
        </w:rPr>
        <w:t>. הווה אומר: לא כל הפרת זכות אשר נתונה לחשוד או לנאשם, לא כל סטייה מהשורה, ולא כל טעות מצדם של חוקרי משטרה ובעלי תפקידים אחרים האמונים על אכיפת הדין הפלילי תביא לפסילתה של ראיה אשר הושגה בעקבות אותה הפרה, סטייה או טעות</w:t>
      </w:r>
      <w:r>
        <w:rPr>
          <w:rFonts w:hint="cs"/>
          <w:rtl/>
        </w:rPr>
        <w:t>" (</w:t>
      </w:r>
      <w:r w:rsidRPr="00991E47">
        <w:rPr>
          <w:rtl/>
        </w:rPr>
        <w:t>ע"פ 6359/21 </w:t>
      </w:r>
      <w:r w:rsidRPr="00991E47">
        <w:rPr>
          <w:rFonts w:ascii="Century" w:hAnsi="Century" w:cs="Miriam"/>
          <w:b/>
          <w:spacing w:val="0"/>
          <w:szCs w:val="24"/>
          <w:rtl/>
        </w:rPr>
        <w:t xml:space="preserve">מדינת ישראל נ' אל </w:t>
      </w:r>
      <w:proofErr w:type="spellStart"/>
      <w:r w:rsidRPr="00991E47">
        <w:rPr>
          <w:rFonts w:ascii="Century" w:hAnsi="Century" w:cs="Miriam"/>
          <w:b/>
          <w:spacing w:val="0"/>
          <w:szCs w:val="24"/>
          <w:rtl/>
        </w:rPr>
        <w:t>עמראני</w:t>
      </w:r>
      <w:proofErr w:type="spellEnd"/>
      <w:r w:rsidR="004B47A7">
        <w:rPr>
          <w:rFonts w:hint="cs"/>
          <w:rtl/>
        </w:rPr>
        <w:t xml:space="preserve">, פסקה 45 </w:t>
      </w:r>
      <w:r w:rsidRPr="00991E47">
        <w:rPr>
          <w:rtl/>
        </w:rPr>
        <w:t>(</w:t>
      </w:r>
      <w:r>
        <w:rPr>
          <w:rFonts w:hint="cs"/>
          <w:rtl/>
        </w:rPr>
        <w:t>8</w:t>
      </w:r>
      <w:r w:rsidRPr="00991E47">
        <w:rPr>
          <w:rtl/>
        </w:rPr>
        <w:t>.</w:t>
      </w:r>
      <w:r>
        <w:rPr>
          <w:rFonts w:hint="cs"/>
          <w:rtl/>
        </w:rPr>
        <w:t>9</w:t>
      </w:r>
      <w:r w:rsidRPr="00991E47">
        <w:rPr>
          <w:rtl/>
        </w:rPr>
        <w:t>.2022)</w:t>
      </w:r>
      <w:r>
        <w:rPr>
          <w:rFonts w:hint="cs"/>
          <w:rtl/>
        </w:rPr>
        <w:t>)</w:t>
      </w:r>
      <w:r w:rsidRPr="00991E47">
        <w:rPr>
          <w:rtl/>
        </w:rPr>
        <w:t>‏‏</w:t>
      </w:r>
      <w:r w:rsidRPr="00991E47">
        <w:rPr>
          <w:rFonts w:hint="cs"/>
          <w:rtl/>
        </w:rPr>
        <w:t xml:space="preserve">. </w:t>
      </w:r>
    </w:p>
    <w:p w:rsidR="00991E47" w:rsidRDefault="00991E47" w:rsidP="00991E47">
      <w:pPr>
        <w:pStyle w:val="Ruller5"/>
        <w:rPr>
          <w:rtl/>
        </w:rPr>
      </w:pPr>
    </w:p>
    <w:p w:rsidR="00C10C32" w:rsidRDefault="00991E47" w:rsidP="00DA1BAE">
      <w:pPr>
        <w:pStyle w:val="Ruller41"/>
        <w:tabs>
          <w:tab w:val="clear" w:pos="907"/>
        </w:tabs>
        <w:overflowPunct/>
        <w:autoSpaceDE/>
        <w:autoSpaceDN/>
        <w:adjustRightInd/>
        <w:spacing w:after="420"/>
        <w:textAlignment w:val="auto"/>
        <w:rPr>
          <w:rtl/>
        </w:rPr>
      </w:pPr>
      <w:r>
        <w:rPr>
          <w:rtl/>
        </w:rPr>
        <w:tab/>
      </w:r>
      <w:r w:rsidRPr="00CE422B">
        <w:rPr>
          <w:rFonts w:hint="cs"/>
          <w:rtl/>
        </w:rPr>
        <w:t xml:space="preserve">בענייננו, </w:t>
      </w:r>
      <w:r w:rsidR="00CE422B" w:rsidRPr="00CE422B">
        <w:rPr>
          <w:rFonts w:hint="cs"/>
          <w:rtl/>
        </w:rPr>
        <w:t xml:space="preserve">מתקיים </w:t>
      </w:r>
      <w:r w:rsidR="00E20E2B">
        <w:rPr>
          <w:rFonts w:hint="cs"/>
          <w:rtl/>
        </w:rPr>
        <w:t xml:space="preserve">אפוא </w:t>
      </w:r>
      <w:r w:rsidR="00CE422B" w:rsidRPr="00CE422B">
        <w:rPr>
          <w:rFonts w:hint="cs"/>
          <w:rtl/>
        </w:rPr>
        <w:t xml:space="preserve">התנאי המקדמי </w:t>
      </w:r>
      <w:r w:rsidR="00CE422B" w:rsidRPr="00CE422B">
        <w:rPr>
          <w:rtl/>
        </w:rPr>
        <w:t xml:space="preserve">להחלת הלכת </w:t>
      </w:r>
      <w:proofErr w:type="spellStart"/>
      <w:r w:rsidR="00CE422B" w:rsidRPr="00CE422B">
        <w:rPr>
          <w:rFonts w:ascii="Century" w:hAnsi="Century" w:cs="Miriam"/>
          <w:b/>
          <w:spacing w:val="0"/>
          <w:sz w:val="22"/>
          <w:szCs w:val="24"/>
          <w:rtl/>
        </w:rPr>
        <w:t>יששכרוב</w:t>
      </w:r>
      <w:proofErr w:type="spellEnd"/>
      <w:r w:rsidR="00CE422B" w:rsidRPr="00CE422B">
        <w:rPr>
          <w:rtl/>
        </w:rPr>
        <w:t xml:space="preserve">, </w:t>
      </w:r>
      <w:r w:rsidR="00CE422B" w:rsidRPr="00CE422B">
        <w:rPr>
          <w:rFonts w:hint="cs"/>
          <w:rtl/>
        </w:rPr>
        <w:t>שלפיו</w:t>
      </w:r>
      <w:r w:rsidR="00CE422B" w:rsidRPr="00CE422B">
        <w:rPr>
          <w:rtl/>
        </w:rPr>
        <w:t xml:space="preserve"> הראיה הושגה שלא כדין</w:t>
      </w:r>
      <w:r w:rsidR="00CE422B" w:rsidRPr="00CE422B">
        <w:rPr>
          <w:rFonts w:hint="cs"/>
          <w:rtl/>
        </w:rPr>
        <w:t>.</w:t>
      </w:r>
      <w:r w:rsidR="00CE422B">
        <w:rPr>
          <w:rFonts w:hint="cs"/>
          <w:color w:val="000000"/>
          <w:sz w:val="27"/>
          <w:szCs w:val="27"/>
          <w:rtl/>
        </w:rPr>
        <w:t xml:space="preserve"> </w:t>
      </w:r>
      <w:r w:rsidR="00260733">
        <w:rPr>
          <w:rFonts w:hint="cs"/>
          <w:rtl/>
        </w:rPr>
        <w:t xml:space="preserve">מדובר באי-חוקיות </w:t>
      </w:r>
      <w:r w:rsidR="009E1BD2">
        <w:rPr>
          <w:rFonts w:hint="cs"/>
          <w:rtl/>
        </w:rPr>
        <w:t xml:space="preserve">בוטה </w:t>
      </w:r>
      <w:r w:rsidR="00260733">
        <w:rPr>
          <w:rFonts w:hint="cs"/>
          <w:rtl/>
        </w:rPr>
        <w:t xml:space="preserve">ברמת חומרה משמעותית ביותר, עת שנעשה חיפוש באישון ליל במקום מגוריו של המערער שלא כדין, </w:t>
      </w:r>
      <w:r w:rsidR="00332B90">
        <w:rPr>
          <w:rFonts w:hint="cs"/>
          <w:rtl/>
        </w:rPr>
        <w:t>מבלי שיש כל חשד נגד</w:t>
      </w:r>
      <w:r w:rsidR="00E20E2B">
        <w:rPr>
          <w:rFonts w:hint="cs"/>
          <w:rtl/>
        </w:rPr>
        <w:t>ו</w:t>
      </w:r>
      <w:r w:rsidR="00332B90">
        <w:rPr>
          <w:rFonts w:hint="cs"/>
          <w:rtl/>
        </w:rPr>
        <w:t xml:space="preserve"> </w:t>
      </w:r>
      <w:r w:rsidR="00260733">
        <w:rPr>
          <w:rFonts w:hint="cs"/>
          <w:rtl/>
        </w:rPr>
        <w:t xml:space="preserve">ועל בסיס </w:t>
      </w:r>
      <w:r w:rsidR="009E1BD2">
        <w:rPr>
          <w:rFonts w:hint="cs"/>
          <w:rtl/>
        </w:rPr>
        <w:t>פרשנות</w:t>
      </w:r>
      <w:r w:rsidR="00260733">
        <w:rPr>
          <w:rFonts w:hint="cs"/>
          <w:rtl/>
        </w:rPr>
        <w:t xml:space="preserve"> </w:t>
      </w:r>
      <w:r w:rsidR="00CA5A39">
        <w:rPr>
          <w:rFonts w:hint="cs"/>
          <w:rtl/>
        </w:rPr>
        <w:t>מעוותת</w:t>
      </w:r>
      <w:r w:rsidR="00260733">
        <w:rPr>
          <w:rFonts w:hint="cs"/>
          <w:rtl/>
        </w:rPr>
        <w:t xml:space="preserve"> לחלוטין של צו החיפוש שניתן. כאמור, מדובר במספר פגמים</w:t>
      </w:r>
      <w:r w:rsidR="00332B90">
        <w:rPr>
          <w:rFonts w:hint="cs"/>
          <w:rtl/>
        </w:rPr>
        <w:t xml:space="preserve"> שנפלו</w:t>
      </w:r>
      <w:r w:rsidR="00260733">
        <w:rPr>
          <w:rFonts w:hint="cs"/>
          <w:rtl/>
        </w:rPr>
        <w:t>,</w:t>
      </w:r>
      <w:r w:rsidR="00332B90">
        <w:rPr>
          <w:rFonts w:hint="cs"/>
          <w:rtl/>
        </w:rPr>
        <w:t xml:space="preserve"> אשר חלקם אינם קשורים אחד לשני, ואשר התרחשו</w:t>
      </w:r>
      <w:r w:rsidR="00260733">
        <w:rPr>
          <w:rFonts w:hint="cs"/>
          <w:rtl/>
        </w:rPr>
        <w:t xml:space="preserve"> הן בשלב הבקשה למתן הצו הן בשלב ביצועו. כמו כן, </w:t>
      </w:r>
      <w:r w:rsidR="000D2974">
        <w:rPr>
          <w:rFonts w:hint="cs"/>
          <w:rtl/>
        </w:rPr>
        <w:t xml:space="preserve">קשה לומר שמדובר בטעות בתום-לב מצד השוטרים, </w:t>
      </w:r>
      <w:r w:rsidR="00332B90">
        <w:rPr>
          <w:rFonts w:hint="cs"/>
          <w:rtl/>
        </w:rPr>
        <w:t>והעמדה העקרונית שהובעה על ידי השוטרים שהעידו לפני בית משפט שלום, בדבר היקף סמכות החיפוש ואופן ביצועו, הייתה מטרידה למדי.</w:t>
      </w:r>
    </w:p>
    <w:p w:rsidR="00C10C32" w:rsidRDefault="00C10C32" w:rsidP="00DA1BAE">
      <w:pPr>
        <w:pStyle w:val="Ruller41"/>
        <w:tabs>
          <w:tab w:val="clear" w:pos="907"/>
        </w:tabs>
        <w:overflowPunct/>
        <w:autoSpaceDE/>
        <w:autoSpaceDN/>
        <w:adjustRightInd/>
        <w:spacing w:after="420"/>
        <w:textAlignment w:val="auto"/>
        <w:rPr>
          <w:rtl/>
        </w:rPr>
      </w:pPr>
      <w:r>
        <w:rPr>
          <w:rtl/>
        </w:rPr>
        <w:tab/>
      </w:r>
      <w:r w:rsidR="00332B90">
        <w:rPr>
          <w:rFonts w:hint="cs"/>
          <w:rtl/>
        </w:rPr>
        <w:t xml:space="preserve">כך גם שיקול </w:t>
      </w:r>
      <w:r w:rsidR="00CA5A39">
        <w:rPr>
          <w:rFonts w:hint="cs"/>
          <w:rtl/>
        </w:rPr>
        <w:t xml:space="preserve">של </w:t>
      </w:r>
      <w:r w:rsidR="00332B90">
        <w:rPr>
          <w:rFonts w:hint="cs"/>
          <w:rtl/>
        </w:rPr>
        <w:t>מידת ההשפעה של אי-החוקיות</w:t>
      </w:r>
      <w:r w:rsidR="00CA5A39">
        <w:rPr>
          <w:rFonts w:hint="cs"/>
          <w:rtl/>
        </w:rPr>
        <w:t xml:space="preserve">, </w:t>
      </w:r>
      <w:r w:rsidR="00DA1BAE">
        <w:rPr>
          <w:rFonts w:hint="cs"/>
          <w:rtl/>
        </w:rPr>
        <w:t xml:space="preserve">מוליך </w:t>
      </w:r>
      <w:r w:rsidR="00CA5A39">
        <w:rPr>
          <w:rFonts w:hint="cs"/>
          <w:rtl/>
        </w:rPr>
        <w:t>אף הוא</w:t>
      </w:r>
      <w:r w:rsidR="00A93F1C">
        <w:rPr>
          <w:rFonts w:hint="cs"/>
          <w:rtl/>
        </w:rPr>
        <w:t xml:space="preserve"> לעבר פסלות הראיות, וזאת גם בהתחשב בכך שמדובר בראיות </w:t>
      </w:r>
      <w:proofErr w:type="spellStart"/>
      <w:r w:rsidR="00A93F1C">
        <w:rPr>
          <w:rFonts w:hint="cs"/>
          <w:rtl/>
        </w:rPr>
        <w:t>חפציות</w:t>
      </w:r>
      <w:proofErr w:type="spellEnd"/>
      <w:r>
        <w:rPr>
          <w:rFonts w:hint="cs"/>
          <w:rtl/>
        </w:rPr>
        <w:t xml:space="preserve"> שאין חשש לכך שאי-החוקיות שבהשגתן השליכה על מידת מהימנותן (לעניין היקף תחולתה של הדוקטרינה ביחס לסוגי הראיות השונות, ראו </w:t>
      </w:r>
      <w:r>
        <w:rPr>
          <w:rFonts w:ascii="FrankRuehl" w:hAnsi="FrankRuehl"/>
          <w:color w:val="000000"/>
          <w:sz w:val="28"/>
          <w:rtl/>
        </w:rPr>
        <w:t xml:space="preserve">יניב </w:t>
      </w:r>
      <w:r w:rsidRPr="00C10C32">
        <w:rPr>
          <w:rtl/>
        </w:rPr>
        <w:t>ואקי </w:t>
      </w:r>
      <w:hyperlink r:id="rId9" w:history="1">
        <w:r w:rsidRPr="00C10C32">
          <w:rPr>
            <w:rFonts w:ascii="Century" w:hAnsi="Century" w:cs="Miriam"/>
            <w:b/>
            <w:spacing w:val="0"/>
            <w:sz w:val="22"/>
            <w:szCs w:val="24"/>
            <w:rtl/>
          </w:rPr>
          <w:t>דיני ראיות</w:t>
        </w:r>
      </w:hyperlink>
      <w:r w:rsidRPr="00C10C32">
        <w:t> </w:t>
      </w:r>
      <w:r w:rsidR="0086793B">
        <w:rPr>
          <w:rtl/>
        </w:rPr>
        <w:t>כרך ב</w:t>
      </w:r>
      <w:r w:rsidRPr="00C10C32">
        <w:rPr>
          <w:rtl/>
        </w:rPr>
        <w:t xml:space="preserve"> </w:t>
      </w:r>
      <w:r w:rsidR="00316615">
        <w:rPr>
          <w:rFonts w:ascii="FrankRuehl" w:hAnsi="FrankRuehl" w:hint="cs"/>
          <w:color w:val="000000"/>
          <w:sz w:val="28"/>
          <w:rtl/>
        </w:rPr>
        <w:t>265-261</w:t>
      </w:r>
      <w:r>
        <w:rPr>
          <w:rFonts w:ascii="FrankRuehl" w:hAnsi="FrankRuehl"/>
          <w:color w:val="000000"/>
          <w:sz w:val="28"/>
        </w:rPr>
        <w:t xml:space="preserve"> (2021) </w:t>
      </w:r>
      <w:r>
        <w:rPr>
          <w:rFonts w:hint="cs"/>
          <w:rtl/>
        </w:rPr>
        <w:t xml:space="preserve">(להלן: </w:t>
      </w:r>
      <w:r w:rsidRPr="00C10C32">
        <w:rPr>
          <w:rFonts w:ascii="Century" w:hAnsi="Century" w:cs="Miriam" w:hint="cs"/>
          <w:b/>
          <w:spacing w:val="0"/>
          <w:sz w:val="22"/>
          <w:szCs w:val="24"/>
          <w:rtl/>
        </w:rPr>
        <w:t>ואקי</w:t>
      </w:r>
      <w:r>
        <w:rPr>
          <w:rFonts w:hint="cs"/>
          <w:rtl/>
        </w:rPr>
        <w:t xml:space="preserve">)). </w:t>
      </w:r>
      <w:r w:rsidR="009E1BD2">
        <w:rPr>
          <w:rFonts w:hint="cs"/>
          <w:rtl/>
        </w:rPr>
        <w:t>בהעדר</w:t>
      </w:r>
      <w:r w:rsidR="000553AB">
        <w:rPr>
          <w:rFonts w:hint="cs"/>
          <w:rtl/>
        </w:rPr>
        <w:t xml:space="preserve"> כל חשד כלפי המערער </w:t>
      </w:r>
      <w:r w:rsidR="00332B90">
        <w:rPr>
          <w:rFonts w:hint="cs"/>
          <w:rtl/>
        </w:rPr>
        <w:t xml:space="preserve">לא היה מתבצע כל חיפוש בקרוואן שבו הוא </w:t>
      </w:r>
      <w:r w:rsidR="00991E47">
        <w:rPr>
          <w:rFonts w:hint="cs"/>
          <w:rtl/>
        </w:rPr>
        <w:t>מתגורר אלמלא העובדה כי התגורר</w:t>
      </w:r>
      <w:r w:rsidR="00CE422B">
        <w:rPr>
          <w:rFonts w:hint="cs"/>
          <w:rtl/>
        </w:rPr>
        <w:t>, במקרה,</w:t>
      </w:r>
      <w:r w:rsidR="00991E47">
        <w:rPr>
          <w:rFonts w:hint="cs"/>
          <w:rtl/>
        </w:rPr>
        <w:t xml:space="preserve"> ליד שלתיאל </w:t>
      </w:r>
      <w:r w:rsidR="00A93F1C">
        <w:rPr>
          <w:rFonts w:hint="cs"/>
          <w:rtl/>
        </w:rPr>
        <w:t>(ראו והשוו:</w:t>
      </w:r>
      <w:r w:rsidR="00FF0E6E">
        <w:rPr>
          <w:rFonts w:hint="cs"/>
          <w:rtl/>
        </w:rPr>
        <w:t xml:space="preserve"> </w:t>
      </w:r>
      <w:proofErr w:type="spellStart"/>
      <w:r w:rsidR="00A93F1C" w:rsidRPr="00A93F1C">
        <w:rPr>
          <w:rtl/>
        </w:rPr>
        <w:t>רע"פ</w:t>
      </w:r>
      <w:proofErr w:type="spellEnd"/>
      <w:r w:rsidR="00A93F1C" w:rsidRPr="00A93F1C">
        <w:rPr>
          <w:rtl/>
        </w:rPr>
        <w:t xml:space="preserve"> 3829/15 </w:t>
      </w:r>
      <w:proofErr w:type="spellStart"/>
      <w:r w:rsidR="00A93F1C" w:rsidRPr="00A93F1C">
        <w:rPr>
          <w:rFonts w:ascii="Century" w:hAnsi="Century" w:cs="Miriam"/>
          <w:b/>
          <w:spacing w:val="0"/>
          <w:sz w:val="22"/>
          <w:szCs w:val="24"/>
          <w:rtl/>
        </w:rPr>
        <w:t>קסאי</w:t>
      </w:r>
      <w:proofErr w:type="spellEnd"/>
      <w:r w:rsidR="00A93F1C" w:rsidRPr="00A93F1C">
        <w:rPr>
          <w:rFonts w:ascii="Century" w:hAnsi="Century" w:cs="Miriam"/>
          <w:b/>
          <w:spacing w:val="0"/>
          <w:sz w:val="22"/>
          <w:szCs w:val="24"/>
          <w:rtl/>
        </w:rPr>
        <w:t xml:space="preserve"> נ' מדינת ישראל</w:t>
      </w:r>
      <w:r w:rsidR="00A93F1C" w:rsidRPr="00A93F1C">
        <w:rPr>
          <w:rFonts w:hint="cs"/>
          <w:rtl/>
        </w:rPr>
        <w:t>, פסקה 40</w:t>
      </w:r>
      <w:r w:rsidR="00A93F1C" w:rsidRPr="00A93F1C">
        <w:rPr>
          <w:rtl/>
        </w:rPr>
        <w:t xml:space="preserve"> (20.12.2018)</w:t>
      </w:r>
      <w:r w:rsidR="00A93F1C">
        <w:rPr>
          <w:rFonts w:hint="cs"/>
          <w:rtl/>
        </w:rPr>
        <w:t xml:space="preserve">). </w:t>
      </w:r>
    </w:p>
    <w:p w:rsidR="00C10C32" w:rsidRPr="00C10C32" w:rsidRDefault="00C10C32" w:rsidP="00562C00">
      <w:pPr>
        <w:pStyle w:val="Ruller41"/>
        <w:tabs>
          <w:tab w:val="clear" w:pos="907"/>
        </w:tabs>
        <w:overflowPunct/>
        <w:autoSpaceDE/>
        <w:autoSpaceDN/>
        <w:adjustRightInd/>
        <w:spacing w:after="420"/>
        <w:textAlignment w:val="auto"/>
      </w:pPr>
      <w:r>
        <w:rPr>
          <w:rtl/>
        </w:rPr>
        <w:tab/>
      </w:r>
      <w:r w:rsidR="00CE422B">
        <w:rPr>
          <w:rFonts w:hint="cs"/>
          <w:rtl/>
        </w:rPr>
        <w:t xml:space="preserve">מסקנה דומה עולה </w:t>
      </w:r>
      <w:r w:rsidR="00462435">
        <w:rPr>
          <w:rFonts w:hint="cs"/>
          <w:rtl/>
        </w:rPr>
        <w:t>מ</w:t>
      </w:r>
      <w:r w:rsidR="00CE422B" w:rsidRPr="00CE422B">
        <w:rPr>
          <w:rtl/>
        </w:rPr>
        <w:t>השוואת המחיר החברתי הכרוך בפסילת הראיה לתועלת החברתית שבפסילתה</w:t>
      </w:r>
      <w:r w:rsidR="00CA5A39">
        <w:rPr>
          <w:rFonts w:hint="cs"/>
          <w:rtl/>
        </w:rPr>
        <w:t xml:space="preserve">, אשר אף </w:t>
      </w:r>
      <w:r w:rsidR="00562C00">
        <w:rPr>
          <w:rFonts w:hint="cs"/>
          <w:rtl/>
        </w:rPr>
        <w:t>היא</w:t>
      </w:r>
      <w:r w:rsidR="00CA5A39">
        <w:rPr>
          <w:rFonts w:hint="cs"/>
          <w:rtl/>
        </w:rPr>
        <w:t xml:space="preserve"> מטה את הכף</w:t>
      </w:r>
      <w:r>
        <w:rPr>
          <w:rFonts w:hint="cs"/>
          <w:rtl/>
        </w:rPr>
        <w:t xml:space="preserve"> לטובת פסילת </w:t>
      </w:r>
      <w:r w:rsidR="0025316E">
        <w:rPr>
          <w:rFonts w:hint="cs"/>
          <w:rtl/>
        </w:rPr>
        <w:t>הראיה</w:t>
      </w:r>
      <w:r>
        <w:rPr>
          <w:rFonts w:hint="cs"/>
          <w:rtl/>
        </w:rPr>
        <w:t xml:space="preserve">. </w:t>
      </w:r>
      <w:r w:rsidR="00462435">
        <w:rPr>
          <w:rFonts w:hint="cs"/>
          <w:rtl/>
        </w:rPr>
        <w:t xml:space="preserve">יש לציין, כי </w:t>
      </w:r>
      <w:r>
        <w:rPr>
          <w:rFonts w:hint="cs"/>
          <w:rtl/>
        </w:rPr>
        <w:t xml:space="preserve">בסופו של יום נגזר על המערער עונש של 4 חודשי מאסר בפועל לריצוי בדרך של עבודות שירות, כך שאין מדובר במצב שבו פסילת הראיה עלולה לפגוע יתר על המידה באינטרסים של לחימה בפשע והגנה על שלום הציבור (ראו והשוו: עניין </w:t>
      </w:r>
      <w:proofErr w:type="spellStart"/>
      <w:r w:rsidRPr="00C10C32">
        <w:rPr>
          <w:rFonts w:ascii="Century" w:hAnsi="Century" w:cs="Miriam" w:hint="cs"/>
          <w:b/>
          <w:spacing w:val="0"/>
          <w:sz w:val="22"/>
          <w:szCs w:val="24"/>
          <w:rtl/>
        </w:rPr>
        <w:t>זייצב</w:t>
      </w:r>
      <w:proofErr w:type="spellEnd"/>
      <w:r>
        <w:rPr>
          <w:rFonts w:hint="cs"/>
          <w:rtl/>
        </w:rPr>
        <w:t xml:space="preserve">, בפס' </w:t>
      </w:r>
      <w:r w:rsidR="005557E1">
        <w:rPr>
          <w:rFonts w:hint="cs"/>
          <w:rtl/>
        </w:rPr>
        <w:t>24</w:t>
      </w:r>
      <w:r>
        <w:rPr>
          <w:rFonts w:hint="cs"/>
          <w:rtl/>
        </w:rPr>
        <w:t xml:space="preserve">; וכן </w:t>
      </w:r>
      <w:r w:rsidRPr="00C10C32">
        <w:rPr>
          <w:rFonts w:ascii="Century" w:hAnsi="Century" w:cs="Miriam" w:hint="cs"/>
          <w:b/>
          <w:spacing w:val="0"/>
          <w:sz w:val="22"/>
          <w:szCs w:val="24"/>
          <w:rtl/>
        </w:rPr>
        <w:t>ואקי</w:t>
      </w:r>
      <w:r w:rsidR="0025316E">
        <w:rPr>
          <w:rFonts w:hint="cs"/>
          <w:rtl/>
        </w:rPr>
        <w:t xml:space="preserve">, בעמ' 275). </w:t>
      </w:r>
    </w:p>
    <w:p w:rsidR="00C10C32" w:rsidRDefault="007D3A5A" w:rsidP="00CA5A39">
      <w:pPr>
        <w:pStyle w:val="Ruller41"/>
        <w:numPr>
          <w:ilvl w:val="0"/>
          <w:numId w:val="11"/>
        </w:numPr>
        <w:overflowPunct/>
        <w:autoSpaceDE/>
        <w:autoSpaceDN/>
        <w:adjustRightInd/>
        <w:spacing w:after="420"/>
        <w:textAlignment w:val="auto"/>
      </w:pPr>
      <w:r>
        <w:rPr>
          <w:rFonts w:hint="cs"/>
          <w:rtl/>
        </w:rPr>
        <w:t>על כן, נותר</w:t>
      </w:r>
      <w:r w:rsidR="00B53CA0">
        <w:rPr>
          <w:rFonts w:hint="cs"/>
          <w:rtl/>
        </w:rPr>
        <w:t xml:space="preserve"> לבחון </w:t>
      </w:r>
      <w:r w:rsidR="00C10C32">
        <w:rPr>
          <w:rFonts w:hint="cs"/>
          <w:rtl/>
        </w:rPr>
        <w:t xml:space="preserve">מה </w:t>
      </w:r>
      <w:r w:rsidR="0025316E">
        <w:rPr>
          <w:rFonts w:hint="cs"/>
          <w:rtl/>
        </w:rPr>
        <w:t>דין</w:t>
      </w:r>
      <w:r w:rsidR="00C10C32">
        <w:rPr>
          <w:rFonts w:hint="cs"/>
          <w:rtl/>
        </w:rPr>
        <w:t xml:space="preserve"> ההודעות שמסר המערער בחקירותיו במשטרה, בהן הודה בהחזקת הסמים</w:t>
      </w:r>
      <w:r w:rsidR="00260733">
        <w:rPr>
          <w:rFonts w:hint="cs"/>
          <w:rtl/>
        </w:rPr>
        <w:t xml:space="preserve">. </w:t>
      </w:r>
      <w:r w:rsidR="00C10C32">
        <w:rPr>
          <w:rFonts w:hint="cs"/>
          <w:rtl/>
        </w:rPr>
        <w:t>כהערה מקדימה, כפי שנכתב בהכרעת הדין של בית משפט השלום "</w:t>
      </w:r>
      <w:r w:rsidR="00C10C32" w:rsidRPr="00C10C32">
        <w:rPr>
          <w:rFonts w:ascii="Century" w:hAnsi="Century" w:cs="Miriam" w:hint="cs"/>
          <w:b/>
          <w:spacing w:val="0"/>
          <w:sz w:val="22"/>
          <w:szCs w:val="24"/>
          <w:rtl/>
        </w:rPr>
        <w:t xml:space="preserve">לא נטען מטעם התביעה כי יש מקום להרשעת הנאשם </w:t>
      </w:r>
      <w:r w:rsidR="00C10C32">
        <w:rPr>
          <w:rFonts w:ascii="Century" w:hAnsi="Century" w:cs="Miriam" w:hint="cs"/>
          <w:b/>
          <w:spacing w:val="0"/>
          <w:sz w:val="22"/>
          <w:szCs w:val="24"/>
          <w:rtl/>
        </w:rPr>
        <w:t xml:space="preserve">[המערער </w:t>
      </w:r>
      <w:r w:rsidR="00C10C32">
        <w:rPr>
          <w:rFonts w:ascii="Century" w:hAnsi="Century" w:cs="Miriam"/>
          <w:b/>
          <w:spacing w:val="0"/>
          <w:sz w:val="22"/>
          <w:szCs w:val="24"/>
          <w:rtl/>
        </w:rPr>
        <w:t>–</w:t>
      </w:r>
      <w:r w:rsidR="00C10C32">
        <w:rPr>
          <w:rFonts w:ascii="Century" w:hAnsi="Century" w:cs="Miriam" w:hint="cs"/>
          <w:b/>
          <w:spacing w:val="0"/>
          <w:sz w:val="22"/>
          <w:szCs w:val="24"/>
          <w:rtl/>
        </w:rPr>
        <w:t xml:space="preserve"> י' א'] </w:t>
      </w:r>
      <w:r w:rsidR="00C10C32" w:rsidRPr="00C10C32">
        <w:rPr>
          <w:rFonts w:ascii="Century" w:hAnsi="Century" w:cs="Miriam" w:hint="cs"/>
          <w:b/>
          <w:spacing w:val="0"/>
          <w:sz w:val="22"/>
          <w:szCs w:val="24"/>
          <w:rtl/>
        </w:rPr>
        <w:t>על בסיס הודעותיו בלבד</w:t>
      </w:r>
      <w:r w:rsidR="00C10C32">
        <w:rPr>
          <w:rFonts w:hint="cs"/>
          <w:rtl/>
        </w:rPr>
        <w:t xml:space="preserve">". </w:t>
      </w:r>
      <w:r w:rsidR="0025316E">
        <w:rPr>
          <w:rFonts w:hint="cs"/>
          <w:rtl/>
        </w:rPr>
        <w:t xml:space="preserve">במסגרת הערעור, </w:t>
      </w:r>
      <w:r w:rsidR="00C10C32">
        <w:rPr>
          <w:rFonts w:hint="cs"/>
          <w:rtl/>
        </w:rPr>
        <w:t>בית המשפט המחוזי הפך את קביעות בית משפט השלום ביחס לחוקיות החיפוש, ו</w:t>
      </w:r>
      <w:r w:rsidR="008C51FD">
        <w:rPr>
          <w:rFonts w:hint="cs"/>
          <w:rtl/>
        </w:rPr>
        <w:t>ה</w:t>
      </w:r>
      <w:r w:rsidR="00C10C32">
        <w:rPr>
          <w:rFonts w:hint="cs"/>
          <w:rtl/>
        </w:rPr>
        <w:t xml:space="preserve">וסיף כי לשיטתו לא התחייבה פסילת הראיות הנגזרות. </w:t>
      </w:r>
      <w:r w:rsidR="0025316E">
        <w:rPr>
          <w:rFonts w:hint="cs"/>
          <w:rtl/>
        </w:rPr>
        <w:t>יוצא שבעת הזו, כפי</w:t>
      </w:r>
      <w:r w:rsidR="00C10C32">
        <w:rPr>
          <w:rFonts w:hint="cs"/>
          <w:rtl/>
        </w:rPr>
        <w:t xml:space="preserve"> שציין בית משפט השלום, לא ניצב לפנינו טיעון מוצק מטעם המשיבה המאפשר הר</w:t>
      </w:r>
      <w:r w:rsidR="0025316E">
        <w:rPr>
          <w:rFonts w:hint="cs"/>
          <w:rtl/>
        </w:rPr>
        <w:t xml:space="preserve">שעה על בסיס הודעות המערער בלבד. </w:t>
      </w:r>
    </w:p>
    <w:p w:rsidR="00337892" w:rsidRDefault="00C10C32" w:rsidP="009E1BD2">
      <w:pPr>
        <w:pStyle w:val="Ruller41"/>
        <w:tabs>
          <w:tab w:val="clear" w:pos="907"/>
        </w:tabs>
        <w:overflowPunct/>
        <w:autoSpaceDE/>
        <w:autoSpaceDN/>
        <w:adjustRightInd/>
        <w:spacing w:after="420"/>
        <w:textAlignment w:val="auto"/>
        <w:rPr>
          <w:rtl/>
        </w:rPr>
      </w:pPr>
      <w:r>
        <w:rPr>
          <w:rtl/>
        </w:rPr>
        <w:tab/>
      </w:r>
      <w:r w:rsidR="009A0788">
        <w:rPr>
          <w:rFonts w:hint="cs"/>
          <w:rtl/>
        </w:rPr>
        <w:t>בין אם כך ובין אם אחרת</w:t>
      </w:r>
      <w:r>
        <w:rPr>
          <w:rFonts w:hint="cs"/>
          <w:rtl/>
        </w:rPr>
        <w:t>,</w:t>
      </w:r>
      <w:r w:rsidR="00260733">
        <w:rPr>
          <w:rFonts w:hint="cs"/>
          <w:rtl/>
        </w:rPr>
        <w:t xml:space="preserve"> </w:t>
      </w:r>
      <w:r>
        <w:rPr>
          <w:rFonts w:hint="cs"/>
          <w:rtl/>
        </w:rPr>
        <w:t>לעניין קבילות ההודעות שמסר המערער</w:t>
      </w:r>
      <w:r w:rsidR="009006D5">
        <w:rPr>
          <w:rFonts w:hint="cs"/>
          <w:rtl/>
        </w:rPr>
        <w:t xml:space="preserve"> כראיות נגזרות לתפיסת הסמים</w:t>
      </w:r>
      <w:r>
        <w:rPr>
          <w:rFonts w:hint="cs"/>
          <w:rtl/>
        </w:rPr>
        <w:t xml:space="preserve">, </w:t>
      </w:r>
      <w:r w:rsidR="009E1BD2">
        <w:rPr>
          <w:rFonts w:hint="cs"/>
          <w:rtl/>
        </w:rPr>
        <w:t>אני סבור כי יש לקבל את עמדת</w:t>
      </w:r>
      <w:r w:rsidR="00260733">
        <w:rPr>
          <w:rFonts w:hint="cs"/>
          <w:rtl/>
        </w:rPr>
        <w:t xml:space="preserve"> בית משפט השלום</w:t>
      </w:r>
      <w:r>
        <w:rPr>
          <w:rFonts w:hint="cs"/>
          <w:rtl/>
        </w:rPr>
        <w:t xml:space="preserve">. </w:t>
      </w:r>
      <w:r w:rsidR="008C51FD">
        <w:rPr>
          <w:rFonts w:hint="cs"/>
          <w:rtl/>
        </w:rPr>
        <w:t>הודעות</w:t>
      </w:r>
      <w:r>
        <w:rPr>
          <w:rFonts w:hint="cs"/>
          <w:rtl/>
        </w:rPr>
        <w:t xml:space="preserve"> המערער קשורות בקשר הדוק </w:t>
      </w:r>
      <w:r>
        <w:rPr>
          <w:rtl/>
        </w:rPr>
        <w:t>–</w:t>
      </w:r>
      <w:r>
        <w:rPr>
          <w:rFonts w:hint="cs"/>
          <w:rtl/>
        </w:rPr>
        <w:t xml:space="preserve"> עובדתי ומשפטי, לחיפוש הלא-חוקי שהתבצע בקרוואן שבו הוא מתגורר. במקרים רבים אדם נעצר בשל חשדות כאלו ואחרים, מודה, וטוען לפגם באופן </w:t>
      </w:r>
      <w:r w:rsidR="0025316E">
        <w:rPr>
          <w:rFonts w:hint="cs"/>
          <w:rtl/>
        </w:rPr>
        <w:t>שנגב</w:t>
      </w:r>
      <w:r>
        <w:rPr>
          <w:rFonts w:hint="cs"/>
          <w:rtl/>
        </w:rPr>
        <w:t>ת</w:t>
      </w:r>
      <w:r w:rsidR="0025316E">
        <w:rPr>
          <w:rFonts w:hint="cs"/>
          <w:rtl/>
        </w:rPr>
        <w:t>ה</w:t>
      </w:r>
      <w:r>
        <w:rPr>
          <w:rFonts w:hint="cs"/>
          <w:rtl/>
        </w:rPr>
        <w:t xml:space="preserve"> הודאה. אז, נדרש לדון בקבילות הודאות עוקבות או ראיות </w:t>
      </w:r>
      <w:proofErr w:type="spellStart"/>
      <w:r>
        <w:rPr>
          <w:rFonts w:hint="cs"/>
          <w:rtl/>
        </w:rPr>
        <w:t>חפציות</w:t>
      </w:r>
      <w:proofErr w:type="spellEnd"/>
      <w:r>
        <w:rPr>
          <w:rFonts w:hint="cs"/>
          <w:rtl/>
        </w:rPr>
        <w:t xml:space="preserve"> שהושגו לאחר הה</w:t>
      </w:r>
      <w:r w:rsidR="00337892">
        <w:rPr>
          <w:rFonts w:hint="cs"/>
          <w:rtl/>
        </w:rPr>
        <w:t>ודאה ותוך שימוש במידע שנכלל בה.</w:t>
      </w:r>
    </w:p>
    <w:p w:rsidR="00B53CA0" w:rsidRPr="00E31AE2" w:rsidRDefault="00337892" w:rsidP="00E31AE2">
      <w:pPr>
        <w:pStyle w:val="Ruller41"/>
        <w:tabs>
          <w:tab w:val="clear" w:pos="907"/>
        </w:tabs>
        <w:overflowPunct/>
        <w:autoSpaceDE/>
        <w:autoSpaceDN/>
        <w:adjustRightInd/>
        <w:spacing w:after="420"/>
        <w:textAlignment w:val="auto"/>
        <w:rPr>
          <w:rtl/>
        </w:rPr>
      </w:pPr>
      <w:r>
        <w:rPr>
          <w:rtl/>
        </w:rPr>
        <w:tab/>
      </w:r>
      <w:r w:rsidR="00C10C32">
        <w:rPr>
          <w:rFonts w:hint="cs"/>
          <w:rtl/>
        </w:rPr>
        <w:t xml:space="preserve">המקרה שלפנינו שונה </w:t>
      </w:r>
      <w:r w:rsidR="00C10C32">
        <w:rPr>
          <w:rtl/>
        </w:rPr>
        <w:t>–</w:t>
      </w:r>
      <w:r w:rsidR="0025316E">
        <w:rPr>
          <w:rFonts w:hint="cs"/>
          <w:rtl/>
        </w:rPr>
        <w:t xml:space="preserve"> </w:t>
      </w:r>
      <w:r w:rsidR="00CA5A39">
        <w:rPr>
          <w:rFonts w:hint="cs"/>
          <w:rtl/>
        </w:rPr>
        <w:t xml:space="preserve">המערער שהה במקום מגוריו, ביתו מבצרו, ולא נחשד בדבר עת שפרצו פנימה השוטרים. </w:t>
      </w:r>
      <w:r w:rsidR="00C10C32">
        <w:rPr>
          <w:rFonts w:hint="cs"/>
          <w:rtl/>
        </w:rPr>
        <w:t>כל הפרדה בין ה</w:t>
      </w:r>
      <w:r w:rsidR="009A0788">
        <w:rPr>
          <w:rFonts w:hint="cs"/>
          <w:rtl/>
        </w:rPr>
        <w:t xml:space="preserve">מפגש </w:t>
      </w:r>
      <w:r w:rsidR="0025316E">
        <w:rPr>
          <w:rFonts w:hint="cs"/>
          <w:rtl/>
        </w:rPr>
        <w:t>ש</w:t>
      </w:r>
      <w:r w:rsidR="009A0788">
        <w:rPr>
          <w:rFonts w:hint="cs"/>
          <w:rtl/>
        </w:rPr>
        <w:t>בין המערער לשוטרים במסגרת ה</w:t>
      </w:r>
      <w:r w:rsidR="00C10C32">
        <w:rPr>
          <w:rFonts w:hint="cs"/>
          <w:rtl/>
        </w:rPr>
        <w:t>חיפוש הלא-חוקי שהניב את</w:t>
      </w:r>
      <w:r w:rsidR="009A0788">
        <w:rPr>
          <w:rFonts w:hint="cs"/>
          <w:rtl/>
        </w:rPr>
        <w:t xml:space="preserve"> </w:t>
      </w:r>
      <w:r w:rsidR="0025316E">
        <w:rPr>
          <w:rFonts w:hint="cs"/>
          <w:rtl/>
        </w:rPr>
        <w:t xml:space="preserve">תפיסת </w:t>
      </w:r>
      <w:r w:rsidR="009A0788">
        <w:rPr>
          <w:rFonts w:hint="cs"/>
          <w:rtl/>
        </w:rPr>
        <w:t xml:space="preserve">הסמים שאינם יכולים לשמש כראיה, </w:t>
      </w:r>
      <w:r w:rsidR="00C10C32">
        <w:rPr>
          <w:rFonts w:hint="cs"/>
          <w:rtl/>
        </w:rPr>
        <w:t xml:space="preserve">לבין הודאה בדיעבד </w:t>
      </w:r>
      <w:r w:rsidR="009006D5">
        <w:rPr>
          <w:rFonts w:hint="cs"/>
          <w:rtl/>
        </w:rPr>
        <w:t>ב</w:t>
      </w:r>
      <w:r w:rsidR="00C10C32">
        <w:rPr>
          <w:rFonts w:hint="cs"/>
          <w:rtl/>
        </w:rPr>
        <w:t xml:space="preserve">החזקת הסמים </w:t>
      </w:r>
      <w:r w:rsidR="00C10C32">
        <w:rPr>
          <w:rtl/>
        </w:rPr>
        <w:t>–</w:t>
      </w:r>
      <w:r w:rsidR="00C10C32">
        <w:rPr>
          <w:rFonts w:hint="cs"/>
          <w:rtl/>
        </w:rPr>
        <w:t xml:space="preserve"> מוקשית בנסיבות </w:t>
      </w:r>
      <w:r w:rsidR="00C10C32" w:rsidRPr="00FF0E6E">
        <w:rPr>
          <w:rFonts w:hint="cs"/>
          <w:rtl/>
        </w:rPr>
        <w:t xml:space="preserve">אלו. </w:t>
      </w:r>
      <w:r w:rsidR="00FF0E6E" w:rsidRPr="00FF0E6E">
        <w:rPr>
          <w:rFonts w:hint="cs"/>
          <w:rtl/>
        </w:rPr>
        <w:t xml:space="preserve">מתקיימת אפוא </w:t>
      </w:r>
      <w:r w:rsidR="00FF0E6E" w:rsidRPr="0086793B">
        <w:rPr>
          <w:rFonts w:hint="eastAsia"/>
          <w:rtl/>
        </w:rPr>
        <w:t>זיקה</w:t>
      </w:r>
      <w:r w:rsidR="00FF0E6E" w:rsidRPr="0086793B">
        <w:rPr>
          <w:rtl/>
        </w:rPr>
        <w:t xml:space="preserve"> </w:t>
      </w:r>
      <w:r w:rsidR="00FF0E6E" w:rsidRPr="0086793B">
        <w:rPr>
          <w:rFonts w:hint="eastAsia"/>
          <w:rtl/>
        </w:rPr>
        <w:t>מהותית</w:t>
      </w:r>
      <w:r w:rsidR="00E32546" w:rsidRPr="00E32546">
        <w:rPr>
          <w:rFonts w:hint="cs"/>
          <w:rtl/>
        </w:rPr>
        <w:t xml:space="preserve"> </w:t>
      </w:r>
      <w:r w:rsidR="00E32546">
        <w:rPr>
          <w:rFonts w:hint="cs"/>
          <w:rtl/>
        </w:rPr>
        <w:t>וקשר סיבתי מובהק</w:t>
      </w:r>
      <w:r w:rsidR="00FF0E6E">
        <w:rPr>
          <w:rFonts w:hint="cs"/>
          <w:rtl/>
        </w:rPr>
        <w:t xml:space="preserve">, </w:t>
      </w:r>
      <w:r w:rsidR="00FF0E6E" w:rsidRPr="0086793B">
        <w:rPr>
          <w:rFonts w:hint="eastAsia"/>
          <w:rtl/>
        </w:rPr>
        <w:t>בין</w:t>
      </w:r>
      <w:r w:rsidR="00FF0E6E" w:rsidRPr="0086793B">
        <w:rPr>
          <w:rtl/>
        </w:rPr>
        <w:t xml:space="preserve"> </w:t>
      </w:r>
      <w:r w:rsidR="00FF0E6E" w:rsidRPr="0086793B">
        <w:rPr>
          <w:rFonts w:hint="eastAsia"/>
          <w:rtl/>
        </w:rPr>
        <w:t>הפסול</w:t>
      </w:r>
      <w:r w:rsidR="00FF0E6E" w:rsidRPr="0086793B">
        <w:rPr>
          <w:rtl/>
        </w:rPr>
        <w:t xml:space="preserve"> </w:t>
      </w:r>
      <w:r w:rsidR="00FF0E6E" w:rsidRPr="0086793B">
        <w:rPr>
          <w:rFonts w:hint="eastAsia"/>
          <w:rtl/>
        </w:rPr>
        <w:t>שנפל</w:t>
      </w:r>
      <w:r w:rsidR="00FF0E6E" w:rsidRPr="0086793B">
        <w:rPr>
          <w:rtl/>
        </w:rPr>
        <w:t xml:space="preserve"> </w:t>
      </w:r>
      <w:r w:rsidR="00FF0E6E" w:rsidRPr="0086793B">
        <w:rPr>
          <w:rFonts w:hint="eastAsia"/>
          <w:rtl/>
        </w:rPr>
        <w:t>בראיה</w:t>
      </w:r>
      <w:r w:rsidR="00FF0E6E" w:rsidRPr="0086793B">
        <w:rPr>
          <w:rtl/>
        </w:rPr>
        <w:t xml:space="preserve"> </w:t>
      </w:r>
      <w:r w:rsidR="00FF0E6E" w:rsidRPr="0086793B">
        <w:rPr>
          <w:rFonts w:hint="eastAsia"/>
          <w:rtl/>
        </w:rPr>
        <w:t>הראשית</w:t>
      </w:r>
      <w:r w:rsidR="00FF0E6E" w:rsidRPr="0086793B">
        <w:rPr>
          <w:rtl/>
        </w:rPr>
        <w:t xml:space="preserve"> – </w:t>
      </w:r>
      <w:r w:rsidR="00FF0E6E" w:rsidRPr="0086793B">
        <w:rPr>
          <w:rFonts w:hint="eastAsia"/>
          <w:rtl/>
        </w:rPr>
        <w:t>החיפוש</w:t>
      </w:r>
      <w:r w:rsidR="00FF0E6E" w:rsidRPr="0086793B">
        <w:rPr>
          <w:rtl/>
        </w:rPr>
        <w:t xml:space="preserve"> </w:t>
      </w:r>
      <w:r w:rsidR="00FF0E6E" w:rsidRPr="0086793B">
        <w:rPr>
          <w:rFonts w:hint="eastAsia"/>
          <w:rtl/>
        </w:rPr>
        <w:t>הלא</w:t>
      </w:r>
      <w:r w:rsidR="00FF0E6E" w:rsidRPr="0086793B">
        <w:rPr>
          <w:rtl/>
        </w:rPr>
        <w:t>-</w:t>
      </w:r>
      <w:r w:rsidR="00FF0E6E" w:rsidRPr="0086793B">
        <w:rPr>
          <w:rFonts w:hint="eastAsia"/>
          <w:rtl/>
        </w:rPr>
        <w:t>חוקי</w:t>
      </w:r>
      <w:r w:rsidR="00FF0E6E" w:rsidRPr="0086793B">
        <w:rPr>
          <w:rtl/>
        </w:rPr>
        <w:t xml:space="preserve"> – </w:t>
      </w:r>
      <w:r w:rsidR="00FF0E6E" w:rsidRPr="0086793B">
        <w:rPr>
          <w:rFonts w:hint="eastAsia"/>
          <w:rtl/>
        </w:rPr>
        <w:t>ובין</w:t>
      </w:r>
      <w:r w:rsidR="00FF0E6E" w:rsidRPr="0086793B">
        <w:rPr>
          <w:rtl/>
        </w:rPr>
        <w:t xml:space="preserve"> </w:t>
      </w:r>
      <w:r w:rsidR="00FF0E6E" w:rsidRPr="0086793B">
        <w:rPr>
          <w:rFonts w:hint="eastAsia"/>
          <w:rtl/>
        </w:rPr>
        <w:t>הראי</w:t>
      </w:r>
      <w:r w:rsidR="00FF0E6E">
        <w:rPr>
          <w:rFonts w:hint="cs"/>
          <w:rtl/>
        </w:rPr>
        <w:t>ות</w:t>
      </w:r>
      <w:r w:rsidR="00FF0E6E" w:rsidRPr="0086793B">
        <w:rPr>
          <w:rtl/>
        </w:rPr>
        <w:t xml:space="preserve"> </w:t>
      </w:r>
      <w:r w:rsidR="00FF0E6E" w:rsidRPr="0086793B">
        <w:rPr>
          <w:rFonts w:hint="eastAsia"/>
          <w:rtl/>
        </w:rPr>
        <w:t>הנגזר</w:t>
      </w:r>
      <w:r w:rsidR="00FF0E6E">
        <w:rPr>
          <w:rFonts w:hint="cs"/>
          <w:rtl/>
        </w:rPr>
        <w:t>ו</w:t>
      </w:r>
      <w:r w:rsidR="00FF0E6E" w:rsidRPr="0086793B">
        <w:rPr>
          <w:rFonts w:hint="eastAsia"/>
          <w:rtl/>
        </w:rPr>
        <w:t>ת</w:t>
      </w:r>
      <w:r w:rsidR="00FF0E6E" w:rsidRPr="0086793B">
        <w:rPr>
          <w:rtl/>
        </w:rPr>
        <w:t xml:space="preserve"> (</w:t>
      </w:r>
      <w:r w:rsidR="00FF0E6E" w:rsidRPr="0086793B">
        <w:rPr>
          <w:rFonts w:hint="eastAsia"/>
          <w:rtl/>
        </w:rPr>
        <w:t>עניין</w:t>
      </w:r>
      <w:r w:rsidR="00FF0E6E" w:rsidRPr="0086793B">
        <w:rPr>
          <w:rtl/>
        </w:rPr>
        <w:t xml:space="preserve"> </w:t>
      </w:r>
      <w:r w:rsidR="00FF0E6E" w:rsidRPr="0086793B">
        <w:rPr>
          <w:rFonts w:ascii="Century" w:hAnsi="Century" w:cs="Miriam" w:hint="eastAsia"/>
          <w:b/>
          <w:spacing w:val="0"/>
          <w:sz w:val="22"/>
          <w:szCs w:val="24"/>
          <w:rtl/>
        </w:rPr>
        <w:t>פרחי</w:t>
      </w:r>
      <w:r w:rsidR="00FF0E6E" w:rsidRPr="0086793B">
        <w:rPr>
          <w:rtl/>
        </w:rPr>
        <w:t xml:space="preserve">, </w:t>
      </w:r>
      <w:r w:rsidR="00FF0E6E" w:rsidRPr="0086793B">
        <w:rPr>
          <w:rFonts w:hint="eastAsia"/>
          <w:rtl/>
        </w:rPr>
        <w:t>בפסקה</w:t>
      </w:r>
      <w:r w:rsidR="00FF0E6E" w:rsidRPr="0086793B">
        <w:rPr>
          <w:rtl/>
        </w:rPr>
        <w:t xml:space="preserve"> 20</w:t>
      </w:r>
      <w:r w:rsidR="00665D88">
        <w:rPr>
          <w:rFonts w:hint="cs"/>
          <w:rtl/>
        </w:rPr>
        <w:t>;</w:t>
      </w:r>
      <w:r w:rsidR="00E32546" w:rsidRPr="00E32546">
        <w:rPr>
          <w:rFonts w:hint="cs"/>
          <w:rtl/>
        </w:rPr>
        <w:t xml:space="preserve"> </w:t>
      </w:r>
      <w:r w:rsidR="00E32546">
        <w:rPr>
          <w:rFonts w:hint="cs"/>
          <w:rtl/>
        </w:rPr>
        <w:t xml:space="preserve">ראו והשוו לשיקול שנכלל בהלכת </w:t>
      </w:r>
      <w:proofErr w:type="spellStart"/>
      <w:r w:rsidR="00E32546" w:rsidRPr="00665D88">
        <w:rPr>
          <w:rFonts w:ascii="Century" w:hAnsi="Century" w:cs="Miriam" w:hint="cs"/>
          <w:b/>
          <w:spacing w:val="0"/>
          <w:sz w:val="22"/>
          <w:szCs w:val="24"/>
          <w:rtl/>
        </w:rPr>
        <w:t>יששכרוב</w:t>
      </w:r>
      <w:proofErr w:type="spellEnd"/>
      <w:r w:rsidR="00DF181E">
        <w:rPr>
          <w:rFonts w:hint="cs"/>
          <w:rtl/>
        </w:rPr>
        <w:t xml:space="preserve"> </w:t>
      </w:r>
      <w:r w:rsidR="00DF181E">
        <w:rPr>
          <w:rtl/>
        </w:rPr>
        <w:t>–</w:t>
      </w:r>
      <w:r w:rsidR="00DF181E">
        <w:rPr>
          <w:rFonts w:hint="cs"/>
          <w:rtl/>
        </w:rPr>
        <w:t xml:space="preserve"> </w:t>
      </w:r>
      <w:r w:rsidR="00E32546" w:rsidRPr="00665D88">
        <w:rPr>
          <w:rtl/>
        </w:rPr>
        <w:t>האם הראיה היתה מתגלית או מושגת על-ידי רשויות אכיפת החוק, גם לולא השימוש באמצעי החקירה הבלתי כשרים</w:t>
      </w:r>
      <w:r w:rsidR="00E32546">
        <w:rPr>
          <w:rFonts w:hint="cs"/>
          <w:rtl/>
        </w:rPr>
        <w:t xml:space="preserve"> (שם, בפס' 70 לחוות דעתה של השופטת </w:t>
      </w:r>
      <w:r w:rsidR="00E32546" w:rsidRPr="00665D88">
        <w:rPr>
          <w:rFonts w:ascii="Century" w:hAnsi="Century" w:cs="Miriam" w:hint="cs"/>
          <w:b/>
          <w:spacing w:val="0"/>
          <w:sz w:val="22"/>
          <w:szCs w:val="24"/>
          <w:rtl/>
        </w:rPr>
        <w:t>ד' ביניש</w:t>
      </w:r>
      <w:r w:rsidR="00E32546">
        <w:rPr>
          <w:rFonts w:hint="cs"/>
          <w:rtl/>
        </w:rPr>
        <w:t>)</w:t>
      </w:r>
      <w:r w:rsidR="00485AFA">
        <w:rPr>
          <w:rFonts w:hint="cs"/>
          <w:rtl/>
        </w:rPr>
        <w:t>)</w:t>
      </w:r>
      <w:r w:rsidR="00665D88">
        <w:rPr>
          <w:rFonts w:hint="cs"/>
          <w:rtl/>
        </w:rPr>
        <w:t xml:space="preserve">. </w:t>
      </w:r>
      <w:r w:rsidR="009006D5" w:rsidRPr="00FF0E6E">
        <w:rPr>
          <w:rFonts w:hint="cs"/>
          <w:rtl/>
        </w:rPr>
        <w:t>אם תרצו, ניתן להבחין בין מקרה שבו ב</w:t>
      </w:r>
      <w:r w:rsidR="009006D5">
        <w:rPr>
          <w:rFonts w:hint="cs"/>
          <w:rtl/>
        </w:rPr>
        <w:t>אחת מבין חוליות שרשרת פעולות אכיפת החוק נפל פגם כזה או אחר;</w:t>
      </w:r>
      <w:r w:rsidR="0025316E">
        <w:rPr>
          <w:rFonts w:hint="cs"/>
          <w:rtl/>
        </w:rPr>
        <w:t xml:space="preserve"> </w:t>
      </w:r>
      <w:r w:rsidR="0025316E" w:rsidRPr="00E31AE2">
        <w:rPr>
          <w:rFonts w:hint="cs"/>
          <w:rtl/>
        </w:rPr>
        <w:t xml:space="preserve">לבין מקרה שבו חולייתה הראשונה, </w:t>
      </w:r>
      <w:r w:rsidR="009006D5" w:rsidRPr="00E31AE2">
        <w:rPr>
          <w:rFonts w:hint="cs"/>
          <w:rtl/>
        </w:rPr>
        <w:t>המשמעותית</w:t>
      </w:r>
      <w:r w:rsidR="0025316E" w:rsidRPr="00E31AE2">
        <w:rPr>
          <w:rFonts w:hint="cs"/>
          <w:rtl/>
        </w:rPr>
        <w:t xml:space="preserve"> והיסודית</w:t>
      </w:r>
      <w:r w:rsidR="009006D5" w:rsidRPr="00E31AE2">
        <w:rPr>
          <w:rFonts w:hint="cs"/>
          <w:rtl/>
        </w:rPr>
        <w:t xml:space="preserve"> של שרשרת פעולות האכיפה היא-היא שטבולה כל כולה באי-חוקיות משמעותית.</w:t>
      </w:r>
      <w:r w:rsidR="00E31AE2" w:rsidRPr="00E31AE2">
        <w:rPr>
          <w:rFonts w:hint="cs"/>
          <w:rtl/>
        </w:rPr>
        <w:t xml:space="preserve"> במקרים שכאלו, </w:t>
      </w:r>
      <w:r w:rsidR="00E31AE2" w:rsidRPr="0086793B">
        <w:rPr>
          <w:rFonts w:hint="eastAsia"/>
          <w:rtl/>
        </w:rPr>
        <w:t>הפסול</w:t>
      </w:r>
      <w:r w:rsidR="00E31AE2" w:rsidRPr="0086793B">
        <w:rPr>
          <w:rtl/>
        </w:rPr>
        <w:t xml:space="preserve"> </w:t>
      </w:r>
      <w:r w:rsidR="00E31AE2" w:rsidRPr="0086793B">
        <w:rPr>
          <w:rFonts w:hint="eastAsia"/>
          <w:rtl/>
        </w:rPr>
        <w:t>שנפל</w:t>
      </w:r>
      <w:r w:rsidR="00E31AE2" w:rsidRPr="0086793B">
        <w:rPr>
          <w:rtl/>
        </w:rPr>
        <w:t xml:space="preserve"> </w:t>
      </w:r>
      <w:r w:rsidR="00E31AE2" w:rsidRPr="0086793B">
        <w:rPr>
          <w:rFonts w:hint="eastAsia"/>
          <w:rtl/>
        </w:rPr>
        <w:t>בראיה</w:t>
      </w:r>
      <w:r w:rsidR="00E31AE2" w:rsidRPr="0086793B">
        <w:rPr>
          <w:rtl/>
        </w:rPr>
        <w:t xml:space="preserve"> </w:t>
      </w:r>
      <w:r w:rsidR="00E31AE2" w:rsidRPr="0086793B">
        <w:rPr>
          <w:rFonts w:hint="eastAsia"/>
          <w:rtl/>
        </w:rPr>
        <w:t>הראשית</w:t>
      </w:r>
      <w:r w:rsidR="00E31AE2" w:rsidRPr="0086793B">
        <w:rPr>
          <w:rtl/>
        </w:rPr>
        <w:t xml:space="preserve"> </w:t>
      </w:r>
      <w:r w:rsidR="00E31AE2" w:rsidRPr="0086793B">
        <w:rPr>
          <w:rFonts w:hint="eastAsia"/>
          <w:rtl/>
        </w:rPr>
        <w:t>מכתים</w:t>
      </w:r>
      <w:r w:rsidR="00E31AE2" w:rsidRPr="0086793B">
        <w:rPr>
          <w:rtl/>
        </w:rPr>
        <w:t xml:space="preserve"> </w:t>
      </w:r>
      <w:r w:rsidR="00E31AE2" w:rsidRPr="0086793B">
        <w:rPr>
          <w:rFonts w:hint="eastAsia"/>
          <w:rtl/>
        </w:rPr>
        <w:t>את</w:t>
      </w:r>
      <w:r w:rsidR="00E31AE2" w:rsidRPr="0086793B">
        <w:rPr>
          <w:rtl/>
        </w:rPr>
        <w:t xml:space="preserve"> </w:t>
      </w:r>
      <w:r w:rsidR="00E31AE2" w:rsidRPr="0086793B">
        <w:rPr>
          <w:rFonts w:hint="eastAsia"/>
          <w:rtl/>
        </w:rPr>
        <w:t>הראיה</w:t>
      </w:r>
      <w:r w:rsidR="00E31AE2" w:rsidRPr="0086793B">
        <w:rPr>
          <w:rtl/>
        </w:rPr>
        <w:t xml:space="preserve"> </w:t>
      </w:r>
      <w:r w:rsidR="00E31AE2" w:rsidRPr="0086793B">
        <w:rPr>
          <w:rFonts w:hint="eastAsia"/>
          <w:rtl/>
        </w:rPr>
        <w:t>הנגזרת</w:t>
      </w:r>
      <w:r w:rsidR="00E31AE2" w:rsidRPr="0086793B">
        <w:rPr>
          <w:rtl/>
        </w:rPr>
        <w:t xml:space="preserve"> </w:t>
      </w:r>
      <w:r w:rsidR="00E31AE2" w:rsidRPr="0086793B">
        <w:rPr>
          <w:rFonts w:hint="eastAsia"/>
          <w:rtl/>
        </w:rPr>
        <w:t>באופן</w:t>
      </w:r>
      <w:r w:rsidR="00E31AE2" w:rsidRPr="0086793B">
        <w:rPr>
          <w:rtl/>
        </w:rPr>
        <w:t xml:space="preserve"> </w:t>
      </w:r>
      <w:r w:rsidR="00E31AE2" w:rsidRPr="0086793B">
        <w:rPr>
          <w:rFonts w:hint="eastAsia"/>
          <w:rtl/>
        </w:rPr>
        <w:t>היורד</w:t>
      </w:r>
      <w:r w:rsidR="00E31AE2" w:rsidRPr="0086793B">
        <w:rPr>
          <w:rtl/>
        </w:rPr>
        <w:t xml:space="preserve"> </w:t>
      </w:r>
      <w:r w:rsidR="00E31AE2" w:rsidRPr="0086793B">
        <w:rPr>
          <w:rFonts w:hint="eastAsia"/>
          <w:rtl/>
        </w:rPr>
        <w:t>לשורש</w:t>
      </w:r>
      <w:r w:rsidR="00E31AE2" w:rsidRPr="0086793B">
        <w:rPr>
          <w:rtl/>
        </w:rPr>
        <w:t xml:space="preserve"> </w:t>
      </w:r>
      <w:r w:rsidR="00E31AE2" w:rsidRPr="0086793B">
        <w:rPr>
          <w:rFonts w:hint="eastAsia"/>
          <w:rtl/>
        </w:rPr>
        <w:t>העניין</w:t>
      </w:r>
      <w:r w:rsidR="00E31AE2" w:rsidRPr="0086793B">
        <w:rPr>
          <w:rtl/>
        </w:rPr>
        <w:t xml:space="preserve"> (</w:t>
      </w:r>
      <w:r w:rsidR="00E31AE2" w:rsidRPr="0086793B">
        <w:rPr>
          <w:rFonts w:hint="eastAsia"/>
          <w:rtl/>
        </w:rPr>
        <w:t>עניין</w:t>
      </w:r>
      <w:r w:rsidR="00E31AE2" w:rsidRPr="0086793B">
        <w:rPr>
          <w:rtl/>
        </w:rPr>
        <w:t xml:space="preserve"> </w:t>
      </w:r>
      <w:r w:rsidR="00E31AE2" w:rsidRPr="0086793B">
        <w:rPr>
          <w:rFonts w:ascii="Century" w:hAnsi="Century" w:cs="Miriam" w:hint="eastAsia"/>
          <w:b/>
          <w:spacing w:val="0"/>
          <w:sz w:val="22"/>
          <w:szCs w:val="24"/>
          <w:rtl/>
        </w:rPr>
        <w:t>פרחי</w:t>
      </w:r>
      <w:r w:rsidR="00E31AE2" w:rsidRPr="0086793B">
        <w:rPr>
          <w:rtl/>
        </w:rPr>
        <w:t xml:space="preserve">, </w:t>
      </w:r>
      <w:r w:rsidR="00E31AE2" w:rsidRPr="0086793B">
        <w:rPr>
          <w:rFonts w:hint="eastAsia"/>
          <w:rtl/>
        </w:rPr>
        <w:t>בפסקה</w:t>
      </w:r>
      <w:r w:rsidR="00E31AE2" w:rsidRPr="0086793B">
        <w:rPr>
          <w:rtl/>
        </w:rPr>
        <w:t xml:space="preserve"> 20). </w:t>
      </w:r>
      <w:r w:rsidR="009006D5" w:rsidRPr="00E31AE2">
        <w:rPr>
          <w:rFonts w:hint="cs"/>
          <w:rtl/>
        </w:rPr>
        <w:t xml:space="preserve"> </w:t>
      </w:r>
    </w:p>
    <w:p w:rsidR="009006D5" w:rsidRDefault="008C51FD" w:rsidP="00E20E2B">
      <w:pPr>
        <w:pStyle w:val="Ruller41"/>
        <w:numPr>
          <w:ilvl w:val="0"/>
          <w:numId w:val="11"/>
        </w:numPr>
        <w:overflowPunct/>
        <w:autoSpaceDE/>
        <w:autoSpaceDN/>
        <w:adjustRightInd/>
        <w:spacing w:after="420"/>
        <w:textAlignment w:val="auto"/>
        <w:rPr>
          <w:rtl/>
        </w:rPr>
      </w:pPr>
      <w:r>
        <w:rPr>
          <w:rFonts w:hint="cs"/>
          <w:rtl/>
        </w:rPr>
        <w:t xml:space="preserve">אשוב בהזדמנות זו על עמדתי העקרונית </w:t>
      </w:r>
      <w:r w:rsidR="009006D5">
        <w:rPr>
          <w:rFonts w:hint="cs"/>
          <w:rtl/>
        </w:rPr>
        <w:t xml:space="preserve">כלפי </w:t>
      </w:r>
      <w:r>
        <w:rPr>
          <w:rFonts w:hint="cs"/>
          <w:rtl/>
        </w:rPr>
        <w:t>גישה שלפיה "המטרה מקדשת את האמצעים"</w:t>
      </w:r>
      <w:r w:rsidR="004607A8">
        <w:rPr>
          <w:rFonts w:hint="cs"/>
          <w:rtl/>
        </w:rPr>
        <w:t>, כך שלצורך גילוי וסיכול פשיעה</w:t>
      </w:r>
      <w:r>
        <w:rPr>
          <w:rFonts w:hint="cs"/>
          <w:rtl/>
        </w:rPr>
        <w:t xml:space="preserve"> ניתן ל</w:t>
      </w:r>
      <w:r w:rsidR="00E20E2B">
        <w:rPr>
          <w:rFonts w:hint="cs"/>
          <w:rtl/>
        </w:rPr>
        <w:t xml:space="preserve">השלים עם סטייה </w:t>
      </w:r>
      <w:r>
        <w:rPr>
          <w:rFonts w:hint="cs"/>
          <w:rtl/>
        </w:rPr>
        <w:t xml:space="preserve">מהוראות הדין באשר לצווי חיפוש: </w:t>
      </w:r>
    </w:p>
    <w:p w:rsidR="004607A8" w:rsidRDefault="009006D5" w:rsidP="0025316E">
      <w:pPr>
        <w:pStyle w:val="Ruller5"/>
        <w:rPr>
          <w:rtl/>
        </w:rPr>
      </w:pPr>
      <w:r>
        <w:rPr>
          <w:rtl/>
        </w:rPr>
        <w:t xml:space="preserve">"מתיאור תרחישים אלו משתמעת הצדקת ביצועו של חיפוש </w:t>
      </w:r>
      <w:r w:rsidR="0025316E">
        <w:rPr>
          <w:rFonts w:hint="cs"/>
          <w:rtl/>
        </w:rPr>
        <w:t>[...]</w:t>
      </w:r>
      <w:r>
        <w:rPr>
          <w:rtl/>
        </w:rPr>
        <w:t xml:space="preserve"> המגלמת בתוכה מֶסֶר, אם לא הכרה משתמעת, לפיו המטרה מקדשת את האמצעים. זאת כמעין פשרה (רופפות המגבלות המוטלות כיום על ניהול חיפושים ששכרה בצדה), אל מול הבטחה לכאורה להגברה מאסיבית של כמות העבירות </w:t>
      </w:r>
      <w:proofErr w:type="spellStart"/>
      <w:r>
        <w:rPr>
          <w:rtl/>
        </w:rPr>
        <w:t>שתתגלנה</w:t>
      </w:r>
      <w:proofErr w:type="spellEnd"/>
      <w:r>
        <w:rPr>
          <w:rtl/>
        </w:rPr>
        <w:t>. משכך, מה לנו להקפיד על הכללים והחוק ועל מגבלות סמכותם של החוקרים?; מה לנו להידרש לטענות על פגיעה בזכויותיהם של נחקרים?; ולשם מה לנו לפעול להצר את צעדי השוטרים והחוקרים? – הרי אם נרפה את הרסן, נגלה ביתר קלות עבריינות. זאת על חשבון רמיסת זכויות הפרט ופגיעה בפרטיות</w:t>
      </w:r>
      <w:r>
        <w:rPr>
          <w:rFonts w:hint="cs"/>
          <w:rtl/>
        </w:rPr>
        <w:t xml:space="preserve">. </w:t>
      </w:r>
      <w:r>
        <w:rPr>
          <w:rtl/>
        </w:rPr>
        <w:t>עמדה כזו אין לקבל. מחויבותו של בית המשפט לשמירת קיומו של הליך הוגן היא מושכל ראשון במעלה המהווה את אבן היסוד עליו נסמך המשפט הפלילי. בהתאם, חובה על בית המשפט למנוע שימוש לרעה בכוח הרב שיש לחוקר אל מול נחקר, ולאזן כוח רב זה על ידי הקפדה כי חוקרי המשטרה מקיימים את הוראות החוק ככתבן וכלשונן</w:t>
      </w:r>
      <w:r>
        <w:rPr>
          <w:rFonts w:hint="cs"/>
          <w:rtl/>
        </w:rPr>
        <w:t>" (</w:t>
      </w:r>
      <w:proofErr w:type="spellStart"/>
      <w:r>
        <w:rPr>
          <w:rFonts w:hint="cs"/>
          <w:rtl/>
        </w:rPr>
        <w:t>דנ"פ</w:t>
      </w:r>
      <w:proofErr w:type="spellEnd"/>
      <w:r>
        <w:rPr>
          <w:rFonts w:hint="cs"/>
          <w:rtl/>
        </w:rPr>
        <w:t xml:space="preserve"> </w:t>
      </w:r>
      <w:r w:rsidRPr="009006D5">
        <w:rPr>
          <w:rFonts w:ascii="Century" w:hAnsi="Century" w:cs="Miriam" w:hint="cs"/>
          <w:b/>
          <w:spacing w:val="0"/>
          <w:szCs w:val="24"/>
          <w:rtl/>
        </w:rPr>
        <w:t>אוריך</w:t>
      </w:r>
      <w:r>
        <w:rPr>
          <w:rFonts w:hint="cs"/>
          <w:rtl/>
        </w:rPr>
        <w:t>, פסקה 42 לחוות דעתי</w:t>
      </w:r>
      <w:r w:rsidR="00E20E2B">
        <w:rPr>
          <w:rFonts w:hint="cs"/>
          <w:rtl/>
        </w:rPr>
        <w:t xml:space="preserve">; </w:t>
      </w:r>
      <w:r w:rsidR="00E20E2B" w:rsidRPr="00E20E2B">
        <w:rPr>
          <w:rFonts w:hint="cs"/>
          <w:rtl/>
        </w:rPr>
        <w:t xml:space="preserve">וראו גם: </w:t>
      </w:r>
      <w:r w:rsidR="00E20E2B">
        <w:rPr>
          <w:rFonts w:hint="cs"/>
          <w:rtl/>
        </w:rPr>
        <w:t>חוות דעתי ב</w:t>
      </w:r>
      <w:r w:rsidR="00E20E2B" w:rsidRPr="00E20E2B">
        <w:rPr>
          <w:rtl/>
        </w:rPr>
        <w:t xml:space="preserve">ע"פ 4946/20 </w:t>
      </w:r>
      <w:proofErr w:type="spellStart"/>
      <w:r w:rsidR="00E20E2B" w:rsidRPr="00E20E2B">
        <w:rPr>
          <w:rFonts w:ascii="Century" w:hAnsi="Century" w:cs="Miriam"/>
          <w:b/>
          <w:spacing w:val="0"/>
          <w:szCs w:val="24"/>
          <w:rtl/>
        </w:rPr>
        <w:t>אינעלם</w:t>
      </w:r>
      <w:proofErr w:type="spellEnd"/>
      <w:r w:rsidR="00E20E2B" w:rsidRPr="00E20E2B">
        <w:rPr>
          <w:rFonts w:ascii="Century" w:hAnsi="Century" w:cs="Miriam"/>
          <w:b/>
          <w:spacing w:val="0"/>
          <w:szCs w:val="24"/>
          <w:rtl/>
        </w:rPr>
        <w:t xml:space="preserve"> נ' מדינת ישראל</w:t>
      </w:r>
      <w:r w:rsidR="00E20E2B" w:rsidRPr="00E20E2B">
        <w:rPr>
          <w:rtl/>
        </w:rPr>
        <w:t xml:space="preserve"> (</w:t>
      </w:r>
      <w:r w:rsidR="00E20E2B" w:rsidRPr="00E20E2B">
        <w:rPr>
          <w:rFonts w:hint="cs"/>
          <w:rtl/>
        </w:rPr>
        <w:t>6</w:t>
      </w:r>
      <w:r w:rsidR="00E20E2B" w:rsidRPr="00E20E2B">
        <w:rPr>
          <w:rtl/>
        </w:rPr>
        <w:t>.</w:t>
      </w:r>
      <w:r w:rsidR="00E20E2B" w:rsidRPr="00E20E2B">
        <w:rPr>
          <w:rFonts w:hint="cs"/>
          <w:rtl/>
        </w:rPr>
        <w:t>6</w:t>
      </w:r>
      <w:r w:rsidR="00E20E2B" w:rsidRPr="00E20E2B">
        <w:rPr>
          <w:rtl/>
        </w:rPr>
        <w:t>.2022)</w:t>
      </w:r>
      <w:r w:rsidR="00E20E2B">
        <w:rPr>
          <w:rFonts w:hint="cs"/>
          <w:rtl/>
        </w:rPr>
        <w:t xml:space="preserve">; וכן </w:t>
      </w:r>
      <w:r w:rsidR="00E20E2B" w:rsidRPr="00E20E2B">
        <w:rPr>
          <w:rtl/>
        </w:rPr>
        <w:t xml:space="preserve">יוסף אלרון "המשפט הפלילי – על צומת דרכים" </w:t>
      </w:r>
      <w:r w:rsidR="00E20E2B" w:rsidRPr="00E20E2B">
        <w:rPr>
          <w:rFonts w:ascii="Century" w:hAnsi="Century" w:cs="Miriam"/>
          <w:b/>
          <w:spacing w:val="0"/>
          <w:szCs w:val="24"/>
          <w:rtl/>
        </w:rPr>
        <w:t>ספר סלים ג'ובראן</w:t>
      </w:r>
      <w:r w:rsidR="00E20E2B" w:rsidRPr="00E20E2B">
        <w:rPr>
          <w:rtl/>
        </w:rPr>
        <w:t xml:space="preserve"> 841 (אהרן ברק ואח' עורכים 2023)</w:t>
      </w:r>
      <w:r w:rsidR="00E20E2B">
        <w:rPr>
          <w:rFonts w:hint="cs"/>
          <w:rtl/>
        </w:rPr>
        <w:t xml:space="preserve">). </w:t>
      </w:r>
    </w:p>
    <w:p w:rsidR="004607A8" w:rsidRDefault="004607A8" w:rsidP="004607A8">
      <w:pPr>
        <w:pStyle w:val="Ruller5"/>
        <w:rPr>
          <w:rtl/>
        </w:rPr>
      </w:pPr>
    </w:p>
    <w:p w:rsidR="004607A8" w:rsidRDefault="004607A8" w:rsidP="004607A8">
      <w:pPr>
        <w:pStyle w:val="Ruller5"/>
      </w:pPr>
    </w:p>
    <w:p w:rsidR="009A0788" w:rsidRPr="002B4EF3" w:rsidRDefault="009A0788" w:rsidP="002B4EF3">
      <w:pPr>
        <w:pStyle w:val="Ruller41"/>
        <w:numPr>
          <w:ilvl w:val="0"/>
          <w:numId w:val="11"/>
        </w:numPr>
        <w:overflowPunct/>
        <w:autoSpaceDE/>
        <w:autoSpaceDN/>
        <w:adjustRightInd/>
        <w:spacing w:after="420"/>
        <w:textAlignment w:val="auto"/>
      </w:pPr>
      <w:r>
        <w:rPr>
          <w:rFonts w:hint="cs"/>
          <w:rtl/>
        </w:rPr>
        <w:t xml:space="preserve">אז כהיום, יש לשוב ולהדהד כי </w:t>
      </w:r>
      <w:r w:rsidR="005557E1">
        <w:rPr>
          <w:rFonts w:hint="cs"/>
          <w:rtl/>
        </w:rPr>
        <w:t xml:space="preserve">על בית משפט זה מוטלת החובה להגן על הפרט מפני שימוש גורף ופסול בסמכויות גופי החקירה </w:t>
      </w:r>
      <w:r w:rsidR="00445E21">
        <w:rPr>
          <w:rFonts w:hint="cs"/>
          <w:rtl/>
        </w:rPr>
        <w:t>ומפני</w:t>
      </w:r>
      <w:r w:rsidR="005557E1">
        <w:rPr>
          <w:rFonts w:hint="cs"/>
          <w:rtl/>
        </w:rPr>
        <w:t xml:space="preserve"> חריגת</w:t>
      </w:r>
      <w:r w:rsidR="00445E21">
        <w:rPr>
          <w:rFonts w:hint="cs"/>
          <w:rtl/>
        </w:rPr>
        <w:t>ם</w:t>
      </w:r>
      <w:r w:rsidR="005557E1">
        <w:rPr>
          <w:rFonts w:hint="cs"/>
          <w:rtl/>
        </w:rPr>
        <w:t xml:space="preserve"> מסמכות. גישה המשלימה עם כל פגם, המעדיפה פעם אחר פעם את האינטרס הציבורי שבהרשעת עבריינים, </w:t>
      </w:r>
      <w:r>
        <w:rPr>
          <w:rFonts w:hint="cs"/>
          <w:rtl/>
        </w:rPr>
        <w:t xml:space="preserve">הסולדת מטענות לפגיעה בזכויות נחקרים וחשודים; </w:t>
      </w:r>
      <w:r w:rsidR="005557E1">
        <w:rPr>
          <w:rFonts w:hint="cs"/>
          <w:rtl/>
        </w:rPr>
        <w:t xml:space="preserve">היא גישה אשר תוביל, בין היתר, להתדרדרות בתפקוד גופי החקירה, לירידה באמון הציבור באותם גופים ולפגיעה קשה בכל </w:t>
      </w:r>
      <w:r>
        <w:rPr>
          <w:rFonts w:hint="cs"/>
          <w:rtl/>
        </w:rPr>
        <w:t xml:space="preserve">אותם פרטים אשר זכויותיהם </w:t>
      </w:r>
      <w:r w:rsidR="009E1BD2">
        <w:rPr>
          <w:rFonts w:hint="cs"/>
          <w:rtl/>
        </w:rPr>
        <w:t xml:space="preserve">נפגעו עד כדי </w:t>
      </w:r>
      <w:r>
        <w:rPr>
          <w:rFonts w:hint="cs"/>
          <w:rtl/>
        </w:rPr>
        <w:t>נרמסו.</w:t>
      </w:r>
      <w:r w:rsidR="002B4EF3">
        <w:rPr>
          <w:rFonts w:hint="cs"/>
          <w:rtl/>
        </w:rPr>
        <w:t xml:space="preserve"> וכפי שציינתי במקרה </w:t>
      </w:r>
      <w:r w:rsidR="002B4EF3" w:rsidRPr="002B4EF3">
        <w:rPr>
          <w:rFonts w:hint="cs"/>
          <w:rtl/>
        </w:rPr>
        <w:t xml:space="preserve">קודם: </w:t>
      </w:r>
      <w:r w:rsidR="002B4EF3" w:rsidRPr="002B4EF3">
        <w:rPr>
          <w:rtl/>
        </w:rPr>
        <w:t>"</w:t>
      </w:r>
      <w:r w:rsidR="002B4EF3" w:rsidRPr="00594811">
        <w:rPr>
          <w:rFonts w:ascii="Century" w:hAnsi="Century" w:cs="Miriam"/>
          <w:b/>
          <w:spacing w:val="0"/>
          <w:sz w:val="22"/>
          <w:szCs w:val="24"/>
          <w:rtl/>
        </w:rPr>
        <w:t>דווקא סבלנותו היחסית של המשפט הישראלי לראיות שהושגו שלא כדין במסגרת ההליך העיקרי מחייבת הקפדה על זכויותיהם של נחקרים כבר בשלבי החקירה המוקדמים. האינטרס הציבורי שבמיצוי החקירה אינו חזות הכול – ולהגנה על הזכות לפרטיות של חשודים בביצוע עבירה פלילית ושל גורמים אחרים המעורבים בפרשה או צדדים שלישיים שאין להם ולא כלום עם הפרשה המתנהלת, חשיבות בלתי מבוטלת</w:t>
      </w:r>
      <w:r w:rsidR="002B4EF3" w:rsidRPr="002B4EF3">
        <w:rPr>
          <w:rFonts w:hint="cs"/>
          <w:rtl/>
        </w:rPr>
        <w:t>" (</w:t>
      </w:r>
      <w:r w:rsidR="002B4EF3" w:rsidRPr="002B4EF3">
        <w:rPr>
          <w:rtl/>
        </w:rPr>
        <w:t>בש"פ 7917/19 </w:t>
      </w:r>
      <w:r w:rsidR="002B4EF3" w:rsidRPr="002B4EF3">
        <w:rPr>
          <w:rFonts w:ascii="Century" w:hAnsi="Century" w:cs="Miriam"/>
          <w:b/>
          <w:spacing w:val="0"/>
          <w:sz w:val="22"/>
          <w:szCs w:val="24"/>
          <w:rtl/>
        </w:rPr>
        <w:t>אוריך נ' מדינת ישראל</w:t>
      </w:r>
      <w:r w:rsidR="002B4EF3">
        <w:rPr>
          <w:rFonts w:hint="cs"/>
          <w:rtl/>
        </w:rPr>
        <w:t xml:space="preserve">, פסקה 30 </w:t>
      </w:r>
      <w:r w:rsidR="002B4EF3" w:rsidRPr="002B4EF3">
        <w:rPr>
          <w:rtl/>
        </w:rPr>
        <w:t>(25.12.2019)</w:t>
      </w:r>
      <w:r w:rsidR="002B4EF3">
        <w:rPr>
          <w:rFonts w:hint="cs"/>
          <w:rtl/>
        </w:rPr>
        <w:t xml:space="preserve">). </w:t>
      </w:r>
      <w:r w:rsidR="002B4EF3" w:rsidRPr="002B4EF3">
        <w:rPr>
          <w:rtl/>
        </w:rPr>
        <w:t>‏‏</w:t>
      </w:r>
    </w:p>
    <w:p w:rsidR="005557E1" w:rsidRDefault="009A0788" w:rsidP="009E1BD2">
      <w:pPr>
        <w:pStyle w:val="Ruller41"/>
        <w:tabs>
          <w:tab w:val="clear" w:pos="907"/>
        </w:tabs>
        <w:overflowPunct/>
        <w:autoSpaceDE/>
        <w:autoSpaceDN/>
        <w:adjustRightInd/>
        <w:spacing w:after="420"/>
        <w:textAlignment w:val="auto"/>
      </w:pPr>
      <w:r>
        <w:rPr>
          <w:rtl/>
        </w:rPr>
        <w:tab/>
      </w:r>
      <w:r w:rsidR="005557E1">
        <w:rPr>
          <w:rFonts w:hint="cs"/>
          <w:rtl/>
        </w:rPr>
        <w:t xml:space="preserve">לא בחפץ לב יש להורות על זיכוי מי שבידי המשטרה היו ראיות </w:t>
      </w:r>
      <w:proofErr w:type="spellStart"/>
      <w:r w:rsidR="005557E1">
        <w:rPr>
          <w:rFonts w:hint="cs"/>
          <w:rtl/>
        </w:rPr>
        <w:t>חפציות</w:t>
      </w:r>
      <w:proofErr w:type="spellEnd"/>
      <w:r w:rsidR="005557E1">
        <w:rPr>
          <w:rFonts w:hint="cs"/>
          <w:rtl/>
        </w:rPr>
        <w:t xml:space="preserve"> המלמדות על אשמ</w:t>
      </w:r>
      <w:r w:rsidR="00DA1BAE">
        <w:rPr>
          <w:rFonts w:hint="cs"/>
          <w:rtl/>
        </w:rPr>
        <w:t>ת</w:t>
      </w:r>
      <w:r w:rsidR="005557E1">
        <w:rPr>
          <w:rFonts w:hint="cs"/>
          <w:rtl/>
        </w:rPr>
        <w:t>ו,</w:t>
      </w:r>
      <w:r w:rsidR="009E1BD2">
        <w:rPr>
          <w:rFonts w:hint="cs"/>
          <w:rtl/>
        </w:rPr>
        <w:t xml:space="preserve"> אולם לעיתים אין מנוס מתוצאה זו </w:t>
      </w:r>
      <w:r w:rsidR="009E1BD2">
        <w:rPr>
          <w:rtl/>
        </w:rPr>
        <w:t>–</w:t>
      </w:r>
      <w:r w:rsidR="009E1BD2">
        <w:rPr>
          <w:rFonts w:hint="cs"/>
          <w:rtl/>
        </w:rPr>
        <w:t xml:space="preserve"> וכזה הוא </w:t>
      </w:r>
      <w:r w:rsidR="005557E1">
        <w:rPr>
          <w:rFonts w:hint="cs"/>
          <w:rtl/>
        </w:rPr>
        <w:t xml:space="preserve">המקרה שלפנינו. </w:t>
      </w:r>
    </w:p>
    <w:p w:rsidR="00D23AE1" w:rsidRDefault="00852C5C" w:rsidP="00462435">
      <w:pPr>
        <w:pStyle w:val="Ruller41"/>
        <w:numPr>
          <w:ilvl w:val="0"/>
          <w:numId w:val="11"/>
        </w:numPr>
        <w:overflowPunct/>
        <w:autoSpaceDE/>
        <w:autoSpaceDN/>
        <w:adjustRightInd/>
        <w:spacing w:after="420"/>
        <w:textAlignment w:val="auto"/>
      </w:pPr>
      <w:r>
        <w:rPr>
          <w:rFonts w:hint="cs"/>
          <w:rtl/>
        </w:rPr>
        <w:t xml:space="preserve">עוד יש להוסיף, בגדר למעלה מן הצורך, כי לגישתי גם אם לא היינו רואים לנכון לפסול את הראיות לחובת המערער כאמור, ניתן היה לזכותו גם מטעמי הגנה מן הצדק. </w:t>
      </w:r>
      <w:r w:rsidRPr="00852C5C">
        <w:rPr>
          <w:rtl/>
        </w:rPr>
        <w:t xml:space="preserve">דוקטרינת ההגנה מן הצדק חלה במגוון רחב של מקרים בהם ניתן להצביע על פגם חריף וחמור </w:t>
      </w:r>
      <w:r>
        <w:rPr>
          <w:rtl/>
        </w:rPr>
        <w:t>בהתנהלות רשויות האכיפה והתביעה</w:t>
      </w:r>
      <w:r>
        <w:rPr>
          <w:rFonts w:hint="cs"/>
          <w:rtl/>
        </w:rPr>
        <w:t xml:space="preserve"> </w:t>
      </w:r>
      <w:r w:rsidRPr="00852C5C">
        <w:rPr>
          <w:rFonts w:hint="cs"/>
          <w:rtl/>
        </w:rPr>
        <w:t>(</w:t>
      </w:r>
      <w:proofErr w:type="spellStart"/>
      <w:r w:rsidRPr="00852C5C">
        <w:rPr>
          <w:rtl/>
        </w:rPr>
        <w:t>דנ"פ</w:t>
      </w:r>
      <w:proofErr w:type="spellEnd"/>
      <w:r w:rsidRPr="00852C5C">
        <w:rPr>
          <w:rtl/>
        </w:rPr>
        <w:t xml:space="preserve"> 5387/20 </w:t>
      </w:r>
      <w:r w:rsidRPr="00852C5C">
        <w:rPr>
          <w:rFonts w:ascii="Century" w:hAnsi="Century" w:cs="Miriam"/>
          <w:b/>
          <w:spacing w:val="0"/>
          <w:sz w:val="22"/>
          <w:szCs w:val="24"/>
          <w:rtl/>
        </w:rPr>
        <w:t>רותם נ' מדינת ישראל</w:t>
      </w:r>
      <w:r>
        <w:rPr>
          <w:rFonts w:hint="cs"/>
          <w:rtl/>
        </w:rPr>
        <w:t xml:space="preserve">, פסקה 4 לחוות דעתי </w:t>
      </w:r>
      <w:r w:rsidRPr="00852C5C">
        <w:rPr>
          <w:rtl/>
        </w:rPr>
        <w:t>(15.12.2021)</w:t>
      </w:r>
      <w:r>
        <w:rPr>
          <w:rFonts w:hint="cs"/>
          <w:rtl/>
        </w:rPr>
        <w:t xml:space="preserve">). דוקטרינה זו מעוגנת כעת </w:t>
      </w:r>
      <w:r w:rsidRPr="00852C5C">
        <w:rPr>
          <w:rtl/>
        </w:rPr>
        <w:t>בסעיף 149(10) לחוק סדר הדין הפלילי [נוסח משולב], התשמ"ב</w:t>
      </w:r>
      <w:r w:rsidR="00462435">
        <w:rPr>
          <w:rFonts w:hint="cs"/>
          <w:rtl/>
        </w:rPr>
        <w:t>-</w:t>
      </w:r>
      <w:r w:rsidRPr="00852C5C">
        <w:rPr>
          <w:rtl/>
        </w:rPr>
        <w:t>1982</w:t>
      </w:r>
      <w:r w:rsidRPr="00852C5C">
        <w:rPr>
          <w:rFonts w:hint="cs"/>
          <w:rtl/>
        </w:rPr>
        <w:t xml:space="preserve">, </w:t>
      </w:r>
      <w:r w:rsidRPr="00852C5C">
        <w:rPr>
          <w:rtl/>
        </w:rPr>
        <w:t>הקובע כי נאשם רשאי להעלות טענה מקדמית שלפיה "</w:t>
      </w:r>
      <w:r w:rsidRPr="00852C5C">
        <w:rPr>
          <w:rFonts w:ascii="Century" w:hAnsi="Century" w:cs="Miriam"/>
          <w:b/>
          <w:spacing w:val="0"/>
          <w:sz w:val="22"/>
          <w:szCs w:val="24"/>
          <w:rtl/>
        </w:rPr>
        <w:t>הגשת כתב האישום או ניהול ההליך הפלילי עומדים בסתירה מהותית לעקרונות של צדק והגינות משפטית</w:t>
      </w:r>
      <w:r w:rsidRPr="00852C5C">
        <w:rPr>
          <w:rFonts w:hint="cs"/>
          <w:rtl/>
        </w:rPr>
        <w:t>"</w:t>
      </w:r>
      <w:r>
        <w:rPr>
          <w:rFonts w:hint="cs"/>
          <w:rtl/>
        </w:rPr>
        <w:t>.</w:t>
      </w:r>
      <w:r w:rsidR="00D23AE1">
        <w:rPr>
          <w:rFonts w:hint="cs"/>
          <w:rtl/>
        </w:rPr>
        <w:t xml:space="preserve"> </w:t>
      </w:r>
      <w:r w:rsidR="0025316E">
        <w:rPr>
          <w:rFonts w:hint="cs"/>
          <w:rtl/>
        </w:rPr>
        <w:t>ביחס</w:t>
      </w:r>
      <w:r w:rsidR="00D23AE1">
        <w:rPr>
          <w:rFonts w:hint="cs"/>
          <w:rtl/>
        </w:rPr>
        <w:t xml:space="preserve"> להצדקה הניצבת בבסיס הדוקטרינה, </w:t>
      </w:r>
      <w:r w:rsidR="0016693F">
        <w:rPr>
          <w:rFonts w:hint="cs"/>
          <w:rtl/>
        </w:rPr>
        <w:t>פורט</w:t>
      </w:r>
      <w:r w:rsidR="00D23AE1">
        <w:rPr>
          <w:rFonts w:hint="cs"/>
          <w:rtl/>
        </w:rPr>
        <w:t xml:space="preserve">: </w:t>
      </w:r>
    </w:p>
    <w:p w:rsidR="00852C5C" w:rsidRDefault="00D23AE1" w:rsidP="00D23AE1">
      <w:pPr>
        <w:pStyle w:val="Ruller5"/>
        <w:rPr>
          <w:rtl/>
        </w:rPr>
      </w:pPr>
      <w:r w:rsidRPr="00D23AE1">
        <w:rPr>
          <w:rtl/>
        </w:rPr>
        <w:t>"ההצדקה המרכזית לשימוש בסמכות זו היא הרצון להבטיח כי רשויות החוק ינהגו באופן ראוי, כמתחייב ממעמדן כגוף שלטוני. היא נועדה לשמש בלם לפעילות אכיפה שלוחת רסן, עיוורת לאינטרסים זולתה, המתכחשת לזכויות הנאשם ולערכים של שלטון חוק. זוהי סמכות יוצאת דופן, וכך גם הנסיבות המצדיקות את הפעלתה. היא משלבת בתוכה מארג מורכב של ערכים מתחרים: קידום האינטרס הציבורי שבהעמדה לדין של עבריינים בצד ההכרח להקפיד בזכויות הנאשם; הרצ</w:t>
      </w:r>
      <w:r>
        <w:rPr>
          <w:rtl/>
        </w:rPr>
        <w:t>ון להגיע לחקר האמת, אך לא בכל</w:t>
      </w:r>
      <w:r>
        <w:rPr>
          <w:rFonts w:hint="cs"/>
          <w:rtl/>
        </w:rPr>
        <w:t xml:space="preserve"> </w:t>
      </w:r>
      <w:r w:rsidRPr="00D23AE1">
        <w:rPr>
          <w:rtl/>
        </w:rPr>
        <w:t>מחיר; הגנה על ביטחון הציבור בצד החובה לשרש שימוש לרעה בכוח שלטוני</w:t>
      </w:r>
      <w:r>
        <w:rPr>
          <w:rFonts w:hint="cs"/>
          <w:rtl/>
        </w:rPr>
        <w:t>" (</w:t>
      </w:r>
      <w:r w:rsidRPr="00D23AE1">
        <w:rPr>
          <w:rtl/>
        </w:rPr>
        <w:t>ע"פ 4596/05 </w:t>
      </w:r>
      <w:proofErr w:type="spellStart"/>
      <w:r w:rsidRPr="00D23AE1">
        <w:rPr>
          <w:rFonts w:ascii="Century" w:hAnsi="Century" w:cs="Miriam"/>
          <w:b/>
          <w:spacing w:val="0"/>
          <w:szCs w:val="24"/>
          <w:rtl/>
        </w:rPr>
        <w:t>רוזנשטיין</w:t>
      </w:r>
      <w:proofErr w:type="spellEnd"/>
      <w:r w:rsidRPr="00D23AE1">
        <w:rPr>
          <w:rFonts w:ascii="Century" w:hAnsi="Century" w:cs="Miriam"/>
          <w:b/>
          <w:spacing w:val="0"/>
          <w:szCs w:val="24"/>
          <w:rtl/>
        </w:rPr>
        <w:t xml:space="preserve"> נ' מדינת ישראל</w:t>
      </w:r>
      <w:r>
        <w:rPr>
          <w:rFonts w:hint="cs"/>
          <w:rtl/>
        </w:rPr>
        <w:t xml:space="preserve">, פ"ד </w:t>
      </w:r>
      <w:r>
        <w:rPr>
          <w:rtl/>
        </w:rPr>
        <w:t>ס(3) 353</w:t>
      </w:r>
      <w:r>
        <w:rPr>
          <w:rFonts w:hint="cs"/>
          <w:rtl/>
        </w:rPr>
        <w:t xml:space="preserve">, 375-374 </w:t>
      </w:r>
      <w:r w:rsidRPr="00D23AE1">
        <w:rPr>
          <w:rtl/>
        </w:rPr>
        <w:t>(2005)</w:t>
      </w:r>
      <w:r>
        <w:rPr>
          <w:rFonts w:hint="cs"/>
          <w:rtl/>
        </w:rPr>
        <w:t>).</w:t>
      </w:r>
      <w:r w:rsidRPr="00D23AE1">
        <w:rPr>
          <w:rtl/>
        </w:rPr>
        <w:t>‏‏</w:t>
      </w:r>
    </w:p>
    <w:p w:rsidR="00D23AE1" w:rsidRDefault="00D23AE1" w:rsidP="00D23AE1">
      <w:pPr>
        <w:pStyle w:val="Ruller5"/>
      </w:pPr>
    </w:p>
    <w:p w:rsidR="00852C5C" w:rsidRDefault="00852C5C" w:rsidP="00852C5C">
      <w:pPr>
        <w:pStyle w:val="Ruller41"/>
        <w:tabs>
          <w:tab w:val="clear" w:pos="907"/>
        </w:tabs>
        <w:overflowPunct/>
        <w:autoSpaceDE/>
        <w:autoSpaceDN/>
        <w:adjustRightInd/>
        <w:spacing w:after="420"/>
        <w:textAlignment w:val="auto"/>
        <w:rPr>
          <w:rtl/>
        </w:rPr>
      </w:pPr>
      <w:r>
        <w:rPr>
          <w:rtl/>
        </w:rPr>
        <w:tab/>
      </w:r>
      <w:r>
        <w:rPr>
          <w:rFonts w:hint="cs"/>
          <w:rtl/>
        </w:rPr>
        <w:t xml:space="preserve">בכוחה של דוקטרינת ההגנה מן הצדק להוביל לתוצאות מגוונות </w:t>
      </w:r>
      <w:r>
        <w:rPr>
          <w:rtl/>
        </w:rPr>
        <w:t>–</w:t>
      </w:r>
      <w:r>
        <w:rPr>
          <w:rFonts w:hint="cs"/>
          <w:rtl/>
        </w:rPr>
        <w:t xml:space="preserve"> כגון ביטול האישום, תיקון כתב האישום, המרת סעיפיו לעבירות קלות יותר או פסילת ראיה </w:t>
      </w:r>
      <w:r w:rsidRPr="00852C5C">
        <w:rPr>
          <w:rFonts w:hint="cs"/>
          <w:rtl/>
        </w:rPr>
        <w:t>ספציפית (</w:t>
      </w:r>
      <w:r w:rsidRPr="00852C5C">
        <w:rPr>
          <w:rtl/>
        </w:rPr>
        <w:t>זאב סגל ואבי זמיר "הגנה מ</w:t>
      </w:r>
      <w:r w:rsidR="0025316E">
        <w:rPr>
          <w:rtl/>
        </w:rPr>
        <w:t>ן הצדק באור חוק סדר הדין הפלילי</w:t>
      </w:r>
      <w:r w:rsidR="0025316E">
        <w:rPr>
          <w:rFonts w:hint="cs"/>
          <w:rtl/>
        </w:rPr>
        <w:t xml:space="preserve"> </w:t>
      </w:r>
      <w:r w:rsidR="0025316E">
        <w:rPr>
          <w:rtl/>
        </w:rPr>
        <w:t>–</w:t>
      </w:r>
      <w:r w:rsidR="0025316E">
        <w:rPr>
          <w:rFonts w:hint="cs"/>
          <w:rtl/>
        </w:rPr>
        <w:t xml:space="preserve"> </w:t>
      </w:r>
      <w:r w:rsidRPr="00852C5C">
        <w:rPr>
          <w:rtl/>
        </w:rPr>
        <w:t>סדר חדש של הגינות משפטית</w:t>
      </w:r>
      <w:r>
        <w:rPr>
          <w:rFonts w:hint="cs"/>
          <w:color w:val="000000"/>
          <w:sz w:val="27"/>
          <w:szCs w:val="27"/>
          <w:rtl/>
        </w:rPr>
        <w:t>"</w:t>
      </w:r>
      <w:r>
        <w:rPr>
          <w:rFonts w:ascii="Century" w:hAnsi="Century" w:cs="Miriam" w:hint="cs"/>
          <w:b/>
          <w:spacing w:val="0"/>
          <w:sz w:val="22"/>
          <w:szCs w:val="24"/>
          <w:rtl/>
        </w:rPr>
        <w:t xml:space="preserve"> </w:t>
      </w:r>
      <w:r w:rsidRPr="00852C5C">
        <w:rPr>
          <w:rFonts w:ascii="Century" w:hAnsi="Century" w:cs="Miriam"/>
          <w:b/>
          <w:spacing w:val="0"/>
          <w:sz w:val="22"/>
          <w:szCs w:val="24"/>
          <w:rtl/>
        </w:rPr>
        <w:t>ספר דיוויד וינר על משפט פלילי ואתיקה</w:t>
      </w:r>
      <w:r w:rsidRPr="00852C5C">
        <w:rPr>
          <w:color w:val="000000"/>
          <w:sz w:val="27"/>
          <w:szCs w:val="27"/>
          <w:rtl/>
        </w:rPr>
        <w:t xml:space="preserve"> </w:t>
      </w:r>
      <w:r w:rsidRPr="00852C5C">
        <w:rPr>
          <w:rtl/>
        </w:rPr>
        <w:t>231, 259 (2009)</w:t>
      </w:r>
      <w:r>
        <w:rPr>
          <w:rFonts w:hint="cs"/>
          <w:rtl/>
        </w:rPr>
        <w:t>)</w:t>
      </w:r>
      <w:r w:rsidRPr="00852C5C">
        <w:rPr>
          <w:rFonts w:hint="cs"/>
          <w:rtl/>
        </w:rPr>
        <w:t>.</w:t>
      </w:r>
    </w:p>
    <w:p w:rsidR="00852C5C" w:rsidRDefault="00852C5C" w:rsidP="009A0788">
      <w:pPr>
        <w:pStyle w:val="Ruller41"/>
        <w:rPr>
          <w:rtl/>
        </w:rPr>
      </w:pPr>
      <w:r>
        <w:rPr>
          <w:rtl/>
        </w:rPr>
        <w:tab/>
      </w:r>
      <w:r>
        <w:rPr>
          <w:rFonts w:hint="cs"/>
          <w:rtl/>
        </w:rPr>
        <w:t xml:space="preserve">היחס שבין דוקטרינת ההגנה מן הצדק לבין דוקטרינת הפסילה הפסיקתית, נדון מספר פעמים בעבר בפסיקה (ראו למשל: פסק דינו של המשנה לנשיאה </w:t>
      </w:r>
      <w:r w:rsidRPr="00852C5C">
        <w:rPr>
          <w:rFonts w:ascii="Century" w:hAnsi="Century" w:cs="Miriam" w:hint="cs"/>
          <w:b/>
          <w:spacing w:val="0"/>
          <w:sz w:val="22"/>
          <w:szCs w:val="24"/>
          <w:rtl/>
        </w:rPr>
        <w:t>ח' מלצר</w:t>
      </w:r>
      <w:r>
        <w:rPr>
          <w:rFonts w:hint="cs"/>
          <w:rtl/>
        </w:rPr>
        <w:t>, ב</w:t>
      </w:r>
      <w:r w:rsidRPr="00852C5C">
        <w:rPr>
          <w:rtl/>
        </w:rPr>
        <w:t xml:space="preserve">ע"פ 2868/13 </w:t>
      </w:r>
      <w:proofErr w:type="spellStart"/>
      <w:r w:rsidRPr="00852C5C">
        <w:rPr>
          <w:rFonts w:ascii="Century" w:hAnsi="Century" w:cs="Miriam"/>
          <w:b/>
          <w:spacing w:val="0"/>
          <w:sz w:val="22"/>
          <w:szCs w:val="24"/>
          <w:rtl/>
        </w:rPr>
        <w:t>חייבטוב</w:t>
      </w:r>
      <w:proofErr w:type="spellEnd"/>
      <w:r w:rsidRPr="00852C5C">
        <w:rPr>
          <w:rFonts w:ascii="Century" w:hAnsi="Century" w:cs="Miriam"/>
          <w:b/>
          <w:spacing w:val="0"/>
          <w:sz w:val="22"/>
          <w:szCs w:val="24"/>
          <w:rtl/>
        </w:rPr>
        <w:t xml:space="preserve"> נ' מדינת ישראל</w:t>
      </w:r>
      <w:r w:rsidRPr="00852C5C">
        <w:rPr>
          <w:rtl/>
        </w:rPr>
        <w:t xml:space="preserve"> (</w:t>
      </w:r>
      <w:r>
        <w:rPr>
          <w:rFonts w:hint="cs"/>
          <w:rtl/>
        </w:rPr>
        <w:t>2</w:t>
      </w:r>
      <w:r w:rsidRPr="00852C5C">
        <w:rPr>
          <w:rtl/>
        </w:rPr>
        <w:t>.</w:t>
      </w:r>
      <w:r>
        <w:rPr>
          <w:rFonts w:hint="cs"/>
          <w:rtl/>
        </w:rPr>
        <w:t>8</w:t>
      </w:r>
      <w:r w:rsidRPr="00852C5C">
        <w:rPr>
          <w:rtl/>
        </w:rPr>
        <w:t>.2018)</w:t>
      </w:r>
      <w:r>
        <w:rPr>
          <w:rFonts w:hint="cs"/>
          <w:rtl/>
        </w:rPr>
        <w:t xml:space="preserve">). כאשר בעניין </w:t>
      </w:r>
      <w:r w:rsidRPr="00852C5C">
        <w:rPr>
          <w:rFonts w:ascii="Century" w:hAnsi="Century" w:cs="Miriam" w:hint="cs"/>
          <w:b/>
          <w:spacing w:val="0"/>
          <w:sz w:val="22"/>
          <w:szCs w:val="24"/>
          <w:rtl/>
        </w:rPr>
        <w:t>פרחי</w:t>
      </w:r>
      <w:r>
        <w:rPr>
          <w:rFonts w:hint="cs"/>
          <w:rtl/>
        </w:rPr>
        <w:t>, תואר כי "</w:t>
      </w:r>
      <w:r w:rsidRPr="00852C5C">
        <w:rPr>
          <w:rFonts w:ascii="Century" w:hAnsi="Century" w:cs="Miriam"/>
          <w:b/>
          <w:spacing w:val="0"/>
          <w:sz w:val="22"/>
          <w:szCs w:val="24"/>
          <w:rtl/>
        </w:rPr>
        <w:t>התכלית של הוגנות ההליך משמשת להם מכנה משותף</w:t>
      </w:r>
      <w:r>
        <w:rPr>
          <w:rFonts w:hint="cs"/>
          <w:rtl/>
        </w:rPr>
        <w:t xml:space="preserve">" (שם, בפסקה 10 לחוות דעתו של השופט </w:t>
      </w:r>
      <w:r w:rsidRPr="00852C5C">
        <w:rPr>
          <w:rFonts w:ascii="Century" w:hAnsi="Century" w:cs="Miriam" w:hint="cs"/>
          <w:b/>
          <w:spacing w:val="0"/>
          <w:sz w:val="22"/>
          <w:szCs w:val="24"/>
          <w:rtl/>
        </w:rPr>
        <w:t>א' א' לוי</w:t>
      </w:r>
      <w:r>
        <w:rPr>
          <w:rFonts w:hint="cs"/>
          <w:rtl/>
        </w:rPr>
        <w:t xml:space="preserve">). עם זאת, השימוש בדוקטרינת ההגנה מן הצדק, על המבחן התלת-שלבי שביישומה, נתפס כנדיר </w:t>
      </w:r>
      <w:r w:rsidR="009A0788">
        <w:rPr>
          <w:rFonts w:hint="cs"/>
          <w:rtl/>
        </w:rPr>
        <w:t>ודרמטי</w:t>
      </w:r>
      <w:r>
        <w:rPr>
          <w:rFonts w:hint="cs"/>
          <w:rtl/>
        </w:rPr>
        <w:t xml:space="preserve"> יותר, </w:t>
      </w:r>
      <w:r w:rsidR="00FE4756">
        <w:rPr>
          <w:rFonts w:hint="cs"/>
          <w:rtl/>
        </w:rPr>
        <w:t xml:space="preserve">בין היתר </w:t>
      </w:r>
      <w:r>
        <w:rPr>
          <w:rFonts w:hint="cs"/>
          <w:rtl/>
        </w:rPr>
        <w:t>בהתחשב בכך שבכוחה להוביל</w:t>
      </w:r>
      <w:r w:rsidR="009002FA">
        <w:rPr>
          <w:rFonts w:hint="cs"/>
          <w:rtl/>
        </w:rPr>
        <w:t xml:space="preserve"> במישרין</w:t>
      </w:r>
      <w:r>
        <w:rPr>
          <w:rFonts w:hint="cs"/>
          <w:rtl/>
        </w:rPr>
        <w:t xml:space="preserve"> לביטול האישום.</w:t>
      </w:r>
    </w:p>
    <w:p w:rsidR="00852C5C" w:rsidRDefault="00852C5C" w:rsidP="00852C5C">
      <w:pPr>
        <w:pStyle w:val="Ruller4"/>
        <w:rPr>
          <w:rtl/>
        </w:rPr>
      </w:pPr>
    </w:p>
    <w:p w:rsidR="00337892" w:rsidRDefault="00852C5C" w:rsidP="00E85AA1">
      <w:pPr>
        <w:pStyle w:val="Ruller4"/>
        <w:rPr>
          <w:rtl/>
        </w:rPr>
      </w:pPr>
      <w:r>
        <w:rPr>
          <w:rtl/>
        </w:rPr>
        <w:tab/>
      </w:r>
      <w:r>
        <w:rPr>
          <w:rFonts w:hint="cs"/>
          <w:rtl/>
        </w:rPr>
        <w:t xml:space="preserve">במקרה שלפנינו, לא ארחיב בדבר ניתוח יישומה של </w:t>
      </w:r>
      <w:r w:rsidR="009002FA">
        <w:rPr>
          <w:rFonts w:hint="cs"/>
          <w:rtl/>
        </w:rPr>
        <w:t>דוקטרינת ההגנה מן הצדק</w:t>
      </w:r>
      <w:r>
        <w:rPr>
          <w:rFonts w:hint="cs"/>
          <w:rtl/>
        </w:rPr>
        <w:t xml:space="preserve"> והיחס שבין הדוקטרינות, הואיל וממילא תוצאת פסילת הראיות לפי דוקטרינת הפסילה הפסיקתית מובילה לזיכוי המערער. כהערת אגב, אומר כי </w:t>
      </w:r>
      <w:r w:rsidR="00FE4756">
        <w:rPr>
          <w:rFonts w:hint="cs"/>
          <w:rtl/>
        </w:rPr>
        <w:t xml:space="preserve">בנסיבות אלו של </w:t>
      </w:r>
      <w:r>
        <w:rPr>
          <w:rFonts w:hint="cs"/>
          <w:rtl/>
        </w:rPr>
        <w:t>ריבוי פגמים כפי שהתרחשו בהליך זה, אש</w:t>
      </w:r>
      <w:r w:rsidR="009A0788">
        <w:rPr>
          <w:rFonts w:hint="cs"/>
          <w:rtl/>
        </w:rPr>
        <w:t>ר שורשם באי-כיבוד זכויות המערער</w:t>
      </w:r>
      <w:r>
        <w:rPr>
          <w:rFonts w:hint="cs"/>
          <w:rtl/>
        </w:rPr>
        <w:t xml:space="preserve"> </w:t>
      </w:r>
      <w:r w:rsidR="009A0788">
        <w:rPr>
          <w:rFonts w:hint="cs"/>
          <w:rtl/>
        </w:rPr>
        <w:t>תוך אימוץ</w:t>
      </w:r>
      <w:r>
        <w:rPr>
          <w:rFonts w:hint="cs"/>
          <w:rtl/>
        </w:rPr>
        <w:t xml:space="preserve"> פרשנות מרחיבה</w:t>
      </w:r>
      <w:r w:rsidR="00E85AA1">
        <w:rPr>
          <w:rFonts w:hint="cs"/>
          <w:rtl/>
        </w:rPr>
        <w:t xml:space="preserve"> באופן קיצוני לצו החיפוש שניתן; </w:t>
      </w:r>
      <w:r>
        <w:rPr>
          <w:rFonts w:hint="cs"/>
          <w:rtl/>
        </w:rPr>
        <w:t>כאשר צו החיפוש ניתן על בסיס מידע חסר ואף שגוי</w:t>
      </w:r>
      <w:r w:rsidR="00E85AA1">
        <w:rPr>
          <w:rFonts w:hint="cs"/>
          <w:rtl/>
        </w:rPr>
        <w:t>;</w:t>
      </w:r>
      <w:r>
        <w:rPr>
          <w:rFonts w:hint="cs"/>
          <w:rtl/>
        </w:rPr>
        <w:t xml:space="preserve"> </w:t>
      </w:r>
      <w:r w:rsidR="00E85AA1">
        <w:rPr>
          <w:rFonts w:hint="cs"/>
          <w:rtl/>
        </w:rPr>
        <w:t>והואיל ו</w:t>
      </w:r>
      <w:r>
        <w:rPr>
          <w:rFonts w:hint="cs"/>
          <w:rtl/>
        </w:rPr>
        <w:t xml:space="preserve">לאחר כל זאת החיפוש בוצע תוך הפרת החובה לבצעו בנוכחות שני עדים (בניגוד להוראה המפורשת הכלולה בצו החיפוש) </w:t>
      </w:r>
      <w:r>
        <w:rPr>
          <w:rtl/>
        </w:rPr>
        <w:t>–</w:t>
      </w:r>
      <w:r>
        <w:rPr>
          <w:rFonts w:hint="cs"/>
          <w:rtl/>
        </w:rPr>
        <w:t xml:space="preserve"> </w:t>
      </w:r>
      <w:r w:rsidR="00FE4756">
        <w:rPr>
          <w:rFonts w:hint="cs"/>
          <w:rtl/>
        </w:rPr>
        <w:t xml:space="preserve">דוקטרינת ההגנה מן הצדק </w:t>
      </w:r>
      <w:r w:rsidR="00337892">
        <w:rPr>
          <w:rFonts w:hint="cs"/>
          <w:rtl/>
        </w:rPr>
        <w:t>יכולה הייתה להוביל לתוצאה דומה.</w:t>
      </w:r>
    </w:p>
    <w:p w:rsidR="00337892" w:rsidRDefault="00337892" w:rsidP="009A0788">
      <w:pPr>
        <w:pStyle w:val="Ruller4"/>
        <w:rPr>
          <w:rtl/>
        </w:rPr>
      </w:pPr>
    </w:p>
    <w:p w:rsidR="00852C5C" w:rsidRPr="00852C5C" w:rsidRDefault="00337892" w:rsidP="00E85AA1">
      <w:pPr>
        <w:pStyle w:val="Ruller4"/>
        <w:rPr>
          <w:rtl/>
        </w:rPr>
      </w:pPr>
      <w:r>
        <w:rPr>
          <w:rtl/>
        </w:rPr>
        <w:tab/>
      </w:r>
      <w:r w:rsidR="00D23AE1">
        <w:rPr>
          <w:rFonts w:hint="cs"/>
          <w:rtl/>
        </w:rPr>
        <w:t xml:space="preserve">אוסיף, מבלי לקבוע מסמרות, כי ייתכן שהמקרה שלפנינו מתאים יותר ליישום דוקטרינת ההגנה מן </w:t>
      </w:r>
      <w:r w:rsidR="00E85AA1">
        <w:rPr>
          <w:rFonts w:hint="cs"/>
          <w:rtl/>
        </w:rPr>
        <w:t>הצדק על פני חברתה, בהתחשב בכך ש</w:t>
      </w:r>
      <w:r w:rsidR="009E1BD2">
        <w:rPr>
          <w:rFonts w:hint="cs"/>
          <w:rtl/>
        </w:rPr>
        <w:t xml:space="preserve">מדובר בהפרה בוטה </w:t>
      </w:r>
      <w:r w:rsidR="00E85AA1">
        <w:rPr>
          <w:rFonts w:hint="cs"/>
          <w:rtl/>
        </w:rPr>
        <w:t>ומ</w:t>
      </w:r>
      <w:r w:rsidR="009E1BD2">
        <w:rPr>
          <w:rFonts w:hint="cs"/>
          <w:rtl/>
        </w:rPr>
        <w:t>שה</w:t>
      </w:r>
      <w:r w:rsidR="00D23AE1">
        <w:rPr>
          <w:rFonts w:hint="cs"/>
          <w:rtl/>
        </w:rPr>
        <w:t>פגם שבלב ההליך הוא בהחלטה המודעת של משטרת ישראל להעניק פרשנות כה רחבה לצו החיפוש. משמע, אין מדובר בשגגה</w:t>
      </w:r>
      <w:r w:rsidR="009002FA">
        <w:rPr>
          <w:rFonts w:hint="cs"/>
          <w:rtl/>
        </w:rPr>
        <w:t xml:space="preserve"> נקודתית</w:t>
      </w:r>
      <w:r w:rsidR="00FE4756">
        <w:rPr>
          <w:rFonts w:hint="cs"/>
          <w:rtl/>
        </w:rPr>
        <w:t xml:space="preserve"> של שוטר בעיצומו של החיפוש או במהלך חקירה</w:t>
      </w:r>
      <w:r w:rsidR="00D23AE1">
        <w:rPr>
          <w:rFonts w:hint="cs"/>
          <w:rtl/>
        </w:rPr>
        <w:t xml:space="preserve">, אלא בכשל "מערכתי" כפי שציין בית משפט השלום. </w:t>
      </w:r>
    </w:p>
    <w:p w:rsidR="00852C5C" w:rsidRPr="00852C5C" w:rsidRDefault="00852C5C" w:rsidP="00852C5C">
      <w:pPr>
        <w:pStyle w:val="Ruller4"/>
      </w:pPr>
    </w:p>
    <w:p w:rsidR="006113CB" w:rsidRDefault="005557E1" w:rsidP="00E85AA1">
      <w:pPr>
        <w:pStyle w:val="Ruller41"/>
        <w:numPr>
          <w:ilvl w:val="0"/>
          <w:numId w:val="11"/>
        </w:numPr>
        <w:overflowPunct/>
        <w:autoSpaceDE/>
        <w:autoSpaceDN/>
        <w:adjustRightInd/>
        <w:spacing w:after="420"/>
        <w:textAlignment w:val="auto"/>
        <w:rPr>
          <w:rtl/>
        </w:rPr>
      </w:pPr>
      <w:r>
        <w:rPr>
          <w:rFonts w:hint="cs"/>
          <w:rtl/>
        </w:rPr>
        <w:t>משת</w:t>
      </w:r>
      <w:r w:rsidR="00E85AA1">
        <w:rPr>
          <w:rFonts w:hint="cs"/>
          <w:rtl/>
        </w:rPr>
        <w:t>מה</w:t>
      </w:r>
      <w:r>
        <w:rPr>
          <w:rFonts w:hint="cs"/>
          <w:rtl/>
        </w:rPr>
        <w:t xml:space="preserve"> בחינת המקרה במבט לאחור, יש להפנות מבט לעתיד: </w:t>
      </w:r>
      <w:r w:rsidR="006113CB">
        <w:rPr>
          <w:rFonts w:hint="cs"/>
          <w:rtl/>
        </w:rPr>
        <w:t>במסגרת הליך זה התברר</w:t>
      </w:r>
      <w:r w:rsidR="00E10842">
        <w:rPr>
          <w:rFonts w:hint="cs"/>
          <w:rtl/>
        </w:rPr>
        <w:t>, בין היתר,</w:t>
      </w:r>
      <w:r w:rsidR="006113CB">
        <w:rPr>
          <w:rFonts w:hint="cs"/>
          <w:rtl/>
        </w:rPr>
        <w:t xml:space="preserve"> כי אין נוהל סדור ביחס לאופן שימוש </w:t>
      </w:r>
      <w:r w:rsidR="00C37A10">
        <w:rPr>
          <w:rFonts w:hint="cs"/>
          <w:rtl/>
        </w:rPr>
        <w:t>בתצלום אוויר</w:t>
      </w:r>
      <w:r w:rsidR="00E10842">
        <w:rPr>
          <w:rFonts w:hint="cs"/>
          <w:rtl/>
        </w:rPr>
        <w:t xml:space="preserve"> במסגרת בקשות למתן צו חיפוש. נחשפנו למעשה</w:t>
      </w:r>
      <w:r>
        <w:rPr>
          <w:rFonts w:hint="cs"/>
          <w:rtl/>
        </w:rPr>
        <w:t xml:space="preserve">, כמעט </w:t>
      </w:r>
      <w:r w:rsidR="0025316E">
        <w:rPr>
          <w:rFonts w:hint="cs"/>
          <w:rtl/>
        </w:rPr>
        <w:t>באורח</w:t>
      </w:r>
      <w:r>
        <w:rPr>
          <w:rFonts w:hint="cs"/>
          <w:rtl/>
        </w:rPr>
        <w:t xml:space="preserve"> מקרי,</w:t>
      </w:r>
      <w:r w:rsidR="00E10842">
        <w:rPr>
          <w:rFonts w:hint="cs"/>
          <w:rtl/>
        </w:rPr>
        <w:t xml:space="preserve"> ל</w:t>
      </w:r>
      <w:r w:rsidR="007D3A5A">
        <w:rPr>
          <w:rFonts w:hint="cs"/>
          <w:rtl/>
        </w:rPr>
        <w:t xml:space="preserve">תפיסות סותרות </w:t>
      </w:r>
      <w:r w:rsidR="004C7B80">
        <w:rPr>
          <w:rFonts w:hint="cs"/>
          <w:rtl/>
        </w:rPr>
        <w:t>באופן מהותי באשר ל</w:t>
      </w:r>
      <w:r w:rsidR="00E10842">
        <w:rPr>
          <w:rFonts w:hint="cs"/>
          <w:rtl/>
        </w:rPr>
        <w:t xml:space="preserve">טיב </w:t>
      </w:r>
      <w:r w:rsidR="00FE4756">
        <w:rPr>
          <w:rFonts w:hint="cs"/>
          <w:rtl/>
        </w:rPr>
        <w:t>ה</w:t>
      </w:r>
      <w:r w:rsidR="007D3A5A">
        <w:rPr>
          <w:rFonts w:hint="cs"/>
          <w:rtl/>
        </w:rPr>
        <w:t xml:space="preserve">שימוש </w:t>
      </w:r>
      <w:r w:rsidR="00C37A10">
        <w:rPr>
          <w:rFonts w:hint="cs"/>
          <w:rtl/>
        </w:rPr>
        <w:t>בתצלום אוויר</w:t>
      </w:r>
      <w:r w:rsidR="00FE4756">
        <w:rPr>
          <w:rFonts w:hint="cs"/>
          <w:rtl/>
        </w:rPr>
        <w:t xml:space="preserve"> בהקשר זה</w:t>
      </w:r>
      <w:r w:rsidR="00E10842">
        <w:rPr>
          <w:rFonts w:hint="cs"/>
          <w:rtl/>
        </w:rPr>
        <w:t xml:space="preserve">. </w:t>
      </w:r>
      <w:r w:rsidR="006113CB">
        <w:rPr>
          <w:rFonts w:hint="cs"/>
          <w:rtl/>
        </w:rPr>
        <w:t xml:space="preserve">בהתחשב בפערים </w:t>
      </w:r>
      <w:r>
        <w:rPr>
          <w:rFonts w:hint="cs"/>
          <w:rtl/>
        </w:rPr>
        <w:t xml:space="preserve">דרמטיים </w:t>
      </w:r>
      <w:r w:rsidR="00E10842">
        <w:rPr>
          <w:rFonts w:hint="cs"/>
          <w:rtl/>
        </w:rPr>
        <w:t>אלו</w:t>
      </w:r>
      <w:r w:rsidR="006113CB">
        <w:rPr>
          <w:rFonts w:hint="cs"/>
          <w:rtl/>
        </w:rPr>
        <w:t xml:space="preserve">, דומני כי טוב יעשו הגורמים הרלוונטיים אילו יגבשו נוהל אשר יכווין וייתחם את </w:t>
      </w:r>
      <w:r w:rsidR="007D3A5A">
        <w:rPr>
          <w:rFonts w:hint="cs"/>
          <w:rtl/>
        </w:rPr>
        <w:t xml:space="preserve">השימוש </w:t>
      </w:r>
      <w:r w:rsidR="00C37A10">
        <w:rPr>
          <w:rFonts w:hint="cs"/>
          <w:rtl/>
        </w:rPr>
        <w:t>בתצלום אוויר</w:t>
      </w:r>
      <w:r w:rsidR="00E20E2B">
        <w:rPr>
          <w:rFonts w:hint="cs"/>
          <w:rtl/>
        </w:rPr>
        <w:t xml:space="preserve">, </w:t>
      </w:r>
      <w:r w:rsidR="0025316E">
        <w:rPr>
          <w:rFonts w:hint="cs"/>
          <w:rtl/>
        </w:rPr>
        <w:t xml:space="preserve">באופן </w:t>
      </w:r>
      <w:r w:rsidR="00E20E2B">
        <w:rPr>
          <w:rFonts w:hint="cs"/>
          <w:rtl/>
        </w:rPr>
        <w:t>אשר י</w:t>
      </w:r>
      <w:r w:rsidR="007D3A5A">
        <w:rPr>
          <w:rFonts w:hint="cs"/>
          <w:rtl/>
        </w:rPr>
        <w:t xml:space="preserve">קדם </w:t>
      </w:r>
      <w:r w:rsidR="009A0788">
        <w:rPr>
          <w:rFonts w:hint="cs"/>
          <w:rtl/>
        </w:rPr>
        <w:t xml:space="preserve">בהירות, </w:t>
      </w:r>
      <w:r w:rsidR="00E10842">
        <w:rPr>
          <w:rFonts w:hint="cs"/>
          <w:rtl/>
        </w:rPr>
        <w:t>ודאות</w:t>
      </w:r>
      <w:r w:rsidR="000E36BB">
        <w:rPr>
          <w:rFonts w:hint="cs"/>
          <w:rtl/>
        </w:rPr>
        <w:t xml:space="preserve"> וימנע </w:t>
      </w:r>
      <w:r w:rsidR="00FE4756">
        <w:rPr>
          <w:rFonts w:hint="cs"/>
          <w:rtl/>
        </w:rPr>
        <w:t>תקלות דומות</w:t>
      </w:r>
      <w:r w:rsidR="00E10842">
        <w:rPr>
          <w:rFonts w:hint="cs"/>
          <w:rtl/>
        </w:rPr>
        <w:t xml:space="preserve">. </w:t>
      </w:r>
    </w:p>
    <w:p w:rsidR="000837EA" w:rsidRDefault="00E20E2B" w:rsidP="0030151E">
      <w:pPr>
        <w:pStyle w:val="Ruller41"/>
        <w:numPr>
          <w:ilvl w:val="0"/>
          <w:numId w:val="11"/>
        </w:numPr>
        <w:overflowPunct/>
        <w:autoSpaceDE/>
        <w:autoSpaceDN/>
        <w:adjustRightInd/>
        <w:spacing w:after="420"/>
        <w:textAlignment w:val="auto"/>
        <w:rPr>
          <w:rtl/>
        </w:rPr>
      </w:pPr>
      <w:r>
        <w:rPr>
          <w:rFonts w:hint="cs"/>
          <w:rtl/>
        </w:rPr>
        <w:t xml:space="preserve">מכלל טעמים אלו, אציע לחברי ולחברתי כי נקבל את הערעור ונורה על זיכויו של המערער. </w:t>
      </w:r>
    </w:p>
    <w:p w:rsidR="000837EA" w:rsidRPr="00893B44" w:rsidRDefault="00893B44" w:rsidP="00893B44">
      <w:pPr>
        <w:pStyle w:val="Ruller4"/>
        <w:rPr>
          <w:sz w:val="14"/>
          <w:szCs w:val="18"/>
          <w:rtl/>
        </w:rPr>
      </w:pPr>
      <w:r>
        <w:rPr>
          <w:rtl/>
        </w:rPr>
        <w:tab/>
      </w:r>
    </w:p>
    <w:p w:rsidR="00893B44" w:rsidRDefault="00893B44" w:rsidP="00893B44">
      <w:pPr>
        <w:pStyle w:val="ruller42"/>
        <w:bidi/>
        <w:spacing w:before="0" w:beforeAutospacing="0" w:after="0" w:afterAutospacing="0" w:line="330" w:lineRule="atLeast"/>
        <w:jc w:val="right"/>
        <w:rPr>
          <w:rFonts w:ascii="Arial TUR" w:hAnsi="Arial TUR" w:cs="Arial TUR"/>
          <w:color w:val="000000"/>
          <w:spacing w:val="10"/>
          <w:sz w:val="22"/>
          <w:szCs w:val="22"/>
        </w:rPr>
      </w:pPr>
      <w:r>
        <w:rPr>
          <w:rFonts w:ascii="FrankRuehl" w:hAnsi="FrankRuehl" w:cs="FrankRuehl"/>
          <w:color w:val="000000"/>
          <w:spacing w:val="10"/>
          <w:sz w:val="28"/>
          <w:szCs w:val="28"/>
          <w:rtl/>
        </w:rPr>
        <w:t>ש ו פ ט</w:t>
      </w:r>
    </w:p>
    <w:p w:rsidR="00893B44" w:rsidRDefault="00893B44" w:rsidP="00893B44">
      <w:pPr>
        <w:pStyle w:val="ruller42"/>
        <w:bidi/>
        <w:spacing w:before="0" w:beforeAutospacing="0" w:after="0" w:afterAutospacing="0" w:line="330" w:lineRule="atLeast"/>
        <w:jc w:val="right"/>
        <w:rPr>
          <w:rFonts w:ascii="Arial TUR" w:hAnsi="Arial TUR" w:cs="Arial TUR"/>
          <w:color w:val="000000"/>
          <w:spacing w:val="10"/>
          <w:sz w:val="22"/>
          <w:szCs w:val="22"/>
          <w:rtl/>
        </w:rPr>
      </w:pPr>
      <w:r>
        <w:rPr>
          <w:rFonts w:ascii="FrankRuehl" w:hAnsi="FrankRuehl" w:cs="FrankRuehl"/>
          <w:color w:val="000000"/>
          <w:spacing w:val="10"/>
          <w:sz w:val="28"/>
          <w:szCs w:val="28"/>
          <w:rtl/>
        </w:rPr>
        <w:t> </w:t>
      </w:r>
    </w:p>
    <w:p w:rsidR="00893B44" w:rsidRDefault="00893B44" w:rsidP="00893B44">
      <w:pPr>
        <w:pStyle w:val="ruller42"/>
        <w:bidi/>
        <w:spacing w:before="0" w:beforeAutospacing="0" w:after="0" w:afterAutospacing="0" w:line="330" w:lineRule="atLeast"/>
        <w:rPr>
          <w:rFonts w:ascii="Arial TUR" w:hAnsi="Arial TUR" w:cs="Arial TUR"/>
          <w:color w:val="000000"/>
          <w:spacing w:val="10"/>
          <w:sz w:val="22"/>
          <w:szCs w:val="22"/>
          <w:rtl/>
        </w:rPr>
      </w:pPr>
      <w:r>
        <w:rPr>
          <w:rFonts w:ascii="Miriam" w:hAnsi="Miriam" w:cs="Miriam"/>
          <w:color w:val="000000"/>
          <w:u w:val="single"/>
          <w:rtl/>
        </w:rPr>
        <w:t>השופט א' שטיין</w:t>
      </w:r>
      <w:r>
        <w:rPr>
          <w:rFonts w:ascii="Miriam" w:hAnsi="Miriam" w:cs="Miriam"/>
          <w:color w:val="000000"/>
          <w:rtl/>
        </w:rPr>
        <w:t>:</w:t>
      </w:r>
    </w:p>
    <w:p w:rsidR="00893B44" w:rsidRDefault="00893B44" w:rsidP="00893B44">
      <w:pPr>
        <w:pStyle w:val="ruller42"/>
        <w:bidi/>
        <w:spacing w:before="0" w:beforeAutospacing="0" w:after="0" w:afterAutospacing="0" w:line="330" w:lineRule="atLeast"/>
        <w:rPr>
          <w:rFonts w:ascii="Arial TUR" w:hAnsi="Arial TUR" w:cs="Arial TUR"/>
          <w:color w:val="000000"/>
          <w:spacing w:val="10"/>
          <w:sz w:val="22"/>
          <w:szCs w:val="22"/>
          <w:rtl/>
        </w:rPr>
      </w:pPr>
      <w:r>
        <w:rPr>
          <w:rFonts w:ascii="Miriam" w:hAnsi="Miriam" w:cs="Miriam"/>
          <w:color w:val="000000"/>
          <w:rtl/>
        </w:rPr>
        <w:t> </w:t>
      </w:r>
    </w:p>
    <w:p w:rsidR="00893B44" w:rsidRDefault="00893B44" w:rsidP="00893B44">
      <w:pPr>
        <w:pStyle w:val="ruller42"/>
        <w:bidi/>
        <w:spacing w:before="0" w:beforeAutospacing="0" w:after="0" w:afterAutospacing="0" w:line="330" w:lineRule="atLeast"/>
        <w:jc w:val="both"/>
        <w:rPr>
          <w:rFonts w:ascii="Arial TUR" w:hAnsi="Arial TUR" w:cs="Arial TUR"/>
          <w:color w:val="000000"/>
          <w:spacing w:val="10"/>
          <w:sz w:val="22"/>
          <w:szCs w:val="22"/>
          <w:rtl/>
        </w:rPr>
      </w:pPr>
      <w:r>
        <w:rPr>
          <w:rFonts w:ascii="FrankRuehl" w:hAnsi="FrankRuehl" w:cs="FrankRuehl"/>
          <w:color w:val="000000"/>
          <w:spacing w:val="10"/>
          <w:sz w:val="28"/>
          <w:szCs w:val="28"/>
          <w:rtl/>
        </w:rPr>
        <w:t>           אני מסכים.</w:t>
      </w:r>
    </w:p>
    <w:p w:rsidR="00893B44" w:rsidRDefault="00893B44" w:rsidP="00893B44">
      <w:pPr>
        <w:pStyle w:val="ruller42"/>
        <w:bidi/>
        <w:spacing w:before="0" w:beforeAutospacing="0" w:after="0" w:afterAutospacing="0" w:line="330" w:lineRule="atLeast"/>
        <w:jc w:val="both"/>
        <w:rPr>
          <w:rFonts w:ascii="Arial TUR" w:hAnsi="Arial TUR" w:cs="Arial TUR"/>
          <w:color w:val="000000"/>
          <w:spacing w:val="10"/>
          <w:sz w:val="22"/>
          <w:szCs w:val="22"/>
          <w:rtl/>
        </w:rPr>
      </w:pPr>
      <w:r>
        <w:rPr>
          <w:rFonts w:ascii="FrankRuehl" w:hAnsi="FrankRuehl" w:cs="FrankRuehl"/>
          <w:color w:val="000000"/>
          <w:spacing w:val="10"/>
          <w:sz w:val="28"/>
          <w:szCs w:val="28"/>
          <w:rtl/>
        </w:rPr>
        <w:t> </w:t>
      </w:r>
    </w:p>
    <w:p w:rsidR="00893B44" w:rsidRDefault="00893B44" w:rsidP="00893B44">
      <w:pPr>
        <w:pStyle w:val="ruller42"/>
        <w:bidi/>
        <w:spacing w:before="0" w:beforeAutospacing="0" w:after="0" w:afterAutospacing="0" w:line="330" w:lineRule="atLeast"/>
        <w:jc w:val="right"/>
        <w:rPr>
          <w:rFonts w:ascii="Arial TUR" w:hAnsi="Arial TUR" w:cs="Arial TUR"/>
          <w:color w:val="000000"/>
          <w:spacing w:val="10"/>
          <w:sz w:val="22"/>
          <w:szCs w:val="22"/>
          <w:rtl/>
        </w:rPr>
      </w:pPr>
      <w:r>
        <w:rPr>
          <w:rFonts w:ascii="FrankRuehl" w:hAnsi="FrankRuehl" w:cs="FrankRuehl"/>
          <w:color w:val="000000"/>
          <w:spacing w:val="10"/>
          <w:sz w:val="28"/>
          <w:szCs w:val="28"/>
          <w:rtl/>
        </w:rPr>
        <w:t>ש ו פ ט</w:t>
      </w:r>
    </w:p>
    <w:p w:rsidR="00893B44" w:rsidRDefault="00893B44" w:rsidP="00893B44">
      <w:pPr>
        <w:pStyle w:val="ruller42"/>
        <w:bidi/>
        <w:spacing w:before="0" w:beforeAutospacing="0" w:after="0" w:afterAutospacing="0" w:line="330" w:lineRule="atLeast"/>
        <w:jc w:val="both"/>
        <w:rPr>
          <w:rFonts w:ascii="Arial TUR" w:hAnsi="Arial TUR" w:cs="Arial TUR"/>
          <w:color w:val="000000"/>
          <w:spacing w:val="10"/>
          <w:sz w:val="22"/>
          <w:szCs w:val="22"/>
          <w:rtl/>
        </w:rPr>
      </w:pPr>
      <w:r>
        <w:rPr>
          <w:rFonts w:ascii="Arial TUR" w:hAnsi="Arial TUR" w:cs="Arial TUR"/>
          <w:color w:val="000000"/>
          <w:spacing w:val="10"/>
          <w:sz w:val="22"/>
          <w:szCs w:val="22"/>
        </w:rPr>
        <w:t> </w:t>
      </w:r>
    </w:p>
    <w:p w:rsidR="00893B44" w:rsidRPr="00893B44" w:rsidRDefault="00893B44" w:rsidP="00893B44">
      <w:pPr>
        <w:pStyle w:val="ruller42"/>
        <w:bidi/>
        <w:spacing w:before="0" w:beforeAutospacing="0" w:after="0" w:afterAutospacing="0" w:line="330" w:lineRule="atLeast"/>
        <w:rPr>
          <w:rFonts w:ascii="Arial TUR" w:hAnsi="Arial TUR" w:cs="Arial TUR"/>
          <w:color w:val="000000"/>
          <w:spacing w:val="10"/>
          <w:sz w:val="16"/>
          <w:szCs w:val="16"/>
          <w:rtl/>
        </w:rPr>
      </w:pPr>
      <w:r>
        <w:rPr>
          <w:rFonts w:ascii="Miriam" w:hAnsi="Miriam" w:cs="Miriam"/>
          <w:color w:val="000000"/>
          <w:rtl/>
        </w:rPr>
        <w:t> </w:t>
      </w:r>
    </w:p>
    <w:p w:rsidR="00893B44" w:rsidRDefault="00893B44" w:rsidP="00893B44">
      <w:pPr>
        <w:pStyle w:val="ruller42"/>
        <w:bidi/>
        <w:spacing w:before="0" w:beforeAutospacing="0" w:after="0" w:afterAutospacing="0" w:line="330" w:lineRule="atLeast"/>
        <w:rPr>
          <w:rFonts w:ascii="Arial TUR" w:hAnsi="Arial TUR" w:cs="Arial TUR"/>
          <w:color w:val="000000"/>
          <w:spacing w:val="10"/>
          <w:sz w:val="22"/>
          <w:szCs w:val="22"/>
          <w:rtl/>
        </w:rPr>
      </w:pPr>
      <w:r>
        <w:rPr>
          <w:rFonts w:ascii="Miriam" w:hAnsi="Miriam" w:cs="Miriam"/>
          <w:color w:val="000000"/>
          <w:u w:val="single"/>
          <w:rtl/>
        </w:rPr>
        <w:t xml:space="preserve">השופטת </w:t>
      </w:r>
      <w:r>
        <w:rPr>
          <w:rFonts w:ascii="Miriam" w:hAnsi="Miriam" w:cs="Miriam" w:hint="cs"/>
          <w:color w:val="000000"/>
          <w:u w:val="single"/>
          <w:rtl/>
        </w:rPr>
        <w:t>ר' רונן</w:t>
      </w:r>
      <w:r>
        <w:rPr>
          <w:rFonts w:ascii="Miriam" w:hAnsi="Miriam" w:cs="Miriam"/>
          <w:color w:val="000000"/>
          <w:rtl/>
        </w:rPr>
        <w:t>:</w:t>
      </w:r>
    </w:p>
    <w:p w:rsidR="00893B44" w:rsidRDefault="00893B44" w:rsidP="00893B44">
      <w:pPr>
        <w:pStyle w:val="ruller42"/>
        <w:bidi/>
        <w:spacing w:before="0" w:beforeAutospacing="0" w:after="0" w:afterAutospacing="0" w:line="330" w:lineRule="atLeast"/>
        <w:rPr>
          <w:rFonts w:ascii="Arial TUR" w:hAnsi="Arial TUR" w:cs="Arial TUR"/>
          <w:color w:val="000000"/>
          <w:spacing w:val="10"/>
          <w:sz w:val="22"/>
          <w:szCs w:val="22"/>
          <w:rtl/>
        </w:rPr>
      </w:pPr>
      <w:r>
        <w:rPr>
          <w:rFonts w:ascii="Miriam" w:hAnsi="Miriam" w:cs="Miriam"/>
          <w:color w:val="000000"/>
          <w:rtl/>
        </w:rPr>
        <w:t> </w:t>
      </w:r>
    </w:p>
    <w:p w:rsidR="00893B44" w:rsidRDefault="00893B44" w:rsidP="00893B44">
      <w:pPr>
        <w:pStyle w:val="ruller42"/>
        <w:bidi/>
        <w:spacing w:before="0" w:beforeAutospacing="0" w:after="0" w:afterAutospacing="0" w:line="330" w:lineRule="atLeast"/>
        <w:jc w:val="both"/>
        <w:rPr>
          <w:rFonts w:ascii="Arial TUR" w:hAnsi="Arial TUR" w:cs="Arial TUR"/>
          <w:color w:val="000000"/>
          <w:spacing w:val="10"/>
          <w:sz w:val="22"/>
          <w:szCs w:val="22"/>
          <w:rtl/>
        </w:rPr>
      </w:pPr>
      <w:r>
        <w:rPr>
          <w:rFonts w:ascii="FrankRuehl" w:hAnsi="FrankRuehl" w:cs="FrankRuehl"/>
          <w:color w:val="000000"/>
          <w:spacing w:val="10"/>
          <w:sz w:val="28"/>
          <w:szCs w:val="28"/>
          <w:rtl/>
        </w:rPr>
        <w:t>           אני מסכימה.</w:t>
      </w:r>
    </w:p>
    <w:p w:rsidR="00893B44" w:rsidRDefault="00893B44" w:rsidP="00893B44">
      <w:pPr>
        <w:pStyle w:val="ruller42"/>
        <w:bidi/>
        <w:spacing w:before="0" w:beforeAutospacing="0" w:after="0" w:afterAutospacing="0" w:line="330" w:lineRule="atLeast"/>
        <w:jc w:val="both"/>
        <w:rPr>
          <w:rFonts w:ascii="Arial TUR" w:hAnsi="Arial TUR" w:cs="Arial TUR"/>
          <w:color w:val="000000"/>
          <w:spacing w:val="10"/>
          <w:sz w:val="22"/>
          <w:szCs w:val="22"/>
          <w:rtl/>
        </w:rPr>
      </w:pPr>
      <w:r>
        <w:rPr>
          <w:rFonts w:ascii="FrankRuehl" w:hAnsi="FrankRuehl" w:cs="FrankRuehl"/>
          <w:color w:val="000000"/>
          <w:spacing w:val="10"/>
          <w:sz w:val="28"/>
          <w:szCs w:val="28"/>
          <w:rtl/>
        </w:rPr>
        <w:t> </w:t>
      </w:r>
    </w:p>
    <w:p w:rsidR="00893B44" w:rsidRDefault="00893B44" w:rsidP="00893B44">
      <w:pPr>
        <w:pStyle w:val="ruller42"/>
        <w:bidi/>
        <w:spacing w:before="0" w:beforeAutospacing="0" w:after="0" w:afterAutospacing="0" w:line="330" w:lineRule="atLeast"/>
        <w:jc w:val="right"/>
        <w:rPr>
          <w:rFonts w:ascii="Arial TUR" w:hAnsi="Arial TUR" w:cs="Arial TUR"/>
          <w:color w:val="000000"/>
          <w:spacing w:val="10"/>
          <w:sz w:val="22"/>
          <w:szCs w:val="22"/>
          <w:rtl/>
        </w:rPr>
      </w:pPr>
      <w:r>
        <w:rPr>
          <w:rFonts w:ascii="FrankRuehl" w:hAnsi="FrankRuehl" w:cs="FrankRuehl"/>
          <w:color w:val="000000"/>
          <w:spacing w:val="10"/>
          <w:sz w:val="28"/>
          <w:szCs w:val="28"/>
          <w:rtl/>
        </w:rPr>
        <w:t>ש ו פ ט ת</w:t>
      </w:r>
    </w:p>
    <w:p w:rsidR="00893B44" w:rsidRDefault="00893B44" w:rsidP="00893B44">
      <w:pPr>
        <w:pStyle w:val="ruller42"/>
        <w:bidi/>
        <w:spacing w:before="0" w:beforeAutospacing="0" w:after="0" w:afterAutospacing="0" w:line="330" w:lineRule="atLeast"/>
        <w:jc w:val="both"/>
        <w:rPr>
          <w:rFonts w:ascii="Arial TUR" w:hAnsi="Arial TUR" w:cs="Arial TUR"/>
          <w:color w:val="000000"/>
          <w:spacing w:val="10"/>
          <w:sz w:val="22"/>
          <w:szCs w:val="22"/>
          <w:rtl/>
        </w:rPr>
      </w:pPr>
      <w:r>
        <w:rPr>
          <w:rFonts w:ascii="FrankRuehl" w:hAnsi="FrankRuehl" w:cs="FrankRuehl"/>
          <w:color w:val="000000"/>
          <w:spacing w:val="10"/>
          <w:sz w:val="28"/>
          <w:szCs w:val="28"/>
          <w:rtl/>
        </w:rPr>
        <w:t> </w:t>
      </w:r>
    </w:p>
    <w:p w:rsidR="00893B44" w:rsidRDefault="00893B44" w:rsidP="00893B44">
      <w:pPr>
        <w:pStyle w:val="ruller42"/>
        <w:bidi/>
        <w:spacing w:before="0" w:beforeAutospacing="0" w:after="0" w:afterAutospacing="0" w:line="330" w:lineRule="atLeast"/>
        <w:jc w:val="both"/>
        <w:rPr>
          <w:rFonts w:ascii="Arial TUR" w:hAnsi="Arial TUR" w:cs="Arial TUR"/>
          <w:color w:val="000000"/>
          <w:spacing w:val="10"/>
          <w:sz w:val="22"/>
          <w:szCs w:val="22"/>
          <w:rtl/>
        </w:rPr>
      </w:pPr>
      <w:r>
        <w:rPr>
          <w:rFonts w:ascii="FrankRuehl" w:hAnsi="FrankRuehl" w:cs="FrankRuehl"/>
          <w:color w:val="000000"/>
          <w:spacing w:val="10"/>
          <w:sz w:val="28"/>
          <w:szCs w:val="28"/>
          <w:rtl/>
        </w:rPr>
        <w:t> </w:t>
      </w:r>
    </w:p>
    <w:p w:rsidR="00893B44" w:rsidRDefault="00893B44" w:rsidP="00893B44">
      <w:pPr>
        <w:pStyle w:val="ruller42"/>
        <w:bidi/>
        <w:spacing w:before="0" w:beforeAutospacing="0" w:after="0" w:afterAutospacing="0" w:line="330" w:lineRule="atLeast"/>
        <w:jc w:val="both"/>
        <w:rPr>
          <w:rFonts w:ascii="Arial TUR" w:hAnsi="Arial TUR" w:cs="Arial TUR"/>
          <w:color w:val="000000"/>
          <w:spacing w:val="10"/>
          <w:sz w:val="22"/>
          <w:szCs w:val="22"/>
          <w:rtl/>
        </w:rPr>
      </w:pPr>
      <w:r>
        <w:rPr>
          <w:rFonts w:ascii="FrankRuehl" w:hAnsi="FrankRuehl" w:cs="FrankRuehl"/>
          <w:color w:val="000000"/>
          <w:spacing w:val="10"/>
          <w:sz w:val="28"/>
          <w:szCs w:val="28"/>
          <w:rtl/>
        </w:rPr>
        <w:t>           הוחלט כאמור בפסק דינו של השופט </w:t>
      </w:r>
      <w:r>
        <w:rPr>
          <w:rFonts w:ascii="Miriam" w:hAnsi="Miriam" w:cs="Miriam"/>
          <w:color w:val="000000"/>
          <w:rtl/>
        </w:rPr>
        <w:t>י' אלרון</w:t>
      </w:r>
      <w:r>
        <w:rPr>
          <w:rFonts w:ascii="FrankRuehl" w:hAnsi="FrankRuehl" w:cs="FrankRuehl"/>
          <w:color w:val="000000"/>
          <w:spacing w:val="10"/>
          <w:sz w:val="28"/>
          <w:szCs w:val="28"/>
          <w:rtl/>
        </w:rPr>
        <w:t>.</w:t>
      </w:r>
    </w:p>
    <w:p w:rsidR="00893B44" w:rsidRDefault="00893B44" w:rsidP="00893B44">
      <w:pPr>
        <w:pStyle w:val="ruller42"/>
        <w:bidi/>
        <w:spacing w:before="0" w:beforeAutospacing="0" w:after="0" w:afterAutospacing="0" w:line="330" w:lineRule="atLeast"/>
        <w:jc w:val="both"/>
        <w:rPr>
          <w:rFonts w:ascii="Arial TUR" w:hAnsi="Arial TUR" w:cs="Arial TUR"/>
          <w:color w:val="000000"/>
          <w:spacing w:val="10"/>
          <w:sz w:val="22"/>
          <w:szCs w:val="22"/>
          <w:rtl/>
        </w:rPr>
      </w:pPr>
    </w:p>
    <w:p w:rsidR="00893B44" w:rsidRDefault="00893B44" w:rsidP="00893B44">
      <w:pPr>
        <w:pStyle w:val="ruller42"/>
        <w:bidi/>
        <w:spacing w:before="0" w:beforeAutospacing="0" w:after="0" w:afterAutospacing="0" w:line="330" w:lineRule="atLeast"/>
        <w:jc w:val="both"/>
        <w:rPr>
          <w:rFonts w:ascii="Arial TUR" w:hAnsi="Arial TUR" w:cs="Arial TUR"/>
          <w:color w:val="000000"/>
          <w:spacing w:val="10"/>
          <w:sz w:val="22"/>
          <w:szCs w:val="22"/>
          <w:rtl/>
        </w:rPr>
      </w:pPr>
    </w:p>
    <w:p w:rsidR="00893B44" w:rsidRPr="00893B44" w:rsidRDefault="00893B44" w:rsidP="00EF764C">
      <w:pPr>
        <w:pStyle w:val="ruller42"/>
        <w:bidi/>
        <w:spacing w:before="0" w:beforeAutospacing="0" w:after="0" w:afterAutospacing="0" w:line="330" w:lineRule="atLeast"/>
        <w:jc w:val="both"/>
        <w:rPr>
          <w:rFonts w:ascii="FrankRuehl" w:hAnsi="FrankRuehl" w:cs="FrankRuehl"/>
          <w:color w:val="000000"/>
          <w:spacing w:val="10"/>
          <w:sz w:val="28"/>
          <w:szCs w:val="28"/>
          <w:rtl/>
        </w:rPr>
      </w:pPr>
      <w:r>
        <w:rPr>
          <w:rFonts w:ascii="Arial TUR" w:hAnsi="Arial TUR" w:cs="Arial TUR"/>
          <w:color w:val="000000"/>
          <w:spacing w:val="10"/>
          <w:sz w:val="22"/>
          <w:szCs w:val="22"/>
          <w:rtl/>
        </w:rPr>
        <w:tab/>
      </w:r>
      <w:r w:rsidRPr="00893B44">
        <w:rPr>
          <w:rFonts w:ascii="FrankRuehl" w:hAnsi="FrankRuehl" w:cs="FrankRuehl"/>
          <w:color w:val="000000"/>
          <w:spacing w:val="10"/>
          <w:sz w:val="28"/>
          <w:szCs w:val="28"/>
          <w:rtl/>
        </w:rPr>
        <w:t xml:space="preserve">ניתן היום, </w:t>
      </w:r>
      <w:r w:rsidRPr="00893B44">
        <w:rPr>
          <w:rFonts w:ascii="FrankRuehl" w:hAnsi="FrankRuehl" w:cs="FrankRuehl" w:hint="eastAsia"/>
          <w:color w:val="000000"/>
          <w:spacing w:val="10"/>
          <w:sz w:val="28"/>
          <w:szCs w:val="28"/>
          <w:rtl/>
        </w:rPr>
        <w:t>‏</w:t>
      </w:r>
      <w:r w:rsidR="00EF764C">
        <w:rPr>
          <w:rFonts w:ascii="FrankRuehl" w:hAnsi="FrankRuehl" w:cs="FrankRuehl" w:hint="cs"/>
          <w:color w:val="000000"/>
          <w:spacing w:val="10"/>
          <w:sz w:val="28"/>
          <w:szCs w:val="28"/>
          <w:rtl/>
        </w:rPr>
        <w:t>ח</w:t>
      </w:r>
      <w:r w:rsidRPr="00893B44">
        <w:rPr>
          <w:rFonts w:ascii="FrankRuehl" w:hAnsi="FrankRuehl" w:cs="FrankRuehl"/>
          <w:color w:val="000000"/>
          <w:spacing w:val="10"/>
          <w:sz w:val="28"/>
          <w:szCs w:val="28"/>
          <w:rtl/>
        </w:rPr>
        <w:t xml:space="preserve">' בתמוז </w:t>
      </w:r>
      <w:proofErr w:type="spellStart"/>
      <w:r w:rsidRPr="00893B44">
        <w:rPr>
          <w:rFonts w:ascii="FrankRuehl" w:hAnsi="FrankRuehl" w:cs="FrankRuehl"/>
          <w:color w:val="000000"/>
          <w:spacing w:val="10"/>
          <w:sz w:val="28"/>
          <w:szCs w:val="28"/>
          <w:rtl/>
        </w:rPr>
        <w:t>התשפ"ד</w:t>
      </w:r>
      <w:proofErr w:type="spellEnd"/>
      <w:r w:rsidRPr="00893B44">
        <w:rPr>
          <w:rFonts w:ascii="FrankRuehl" w:hAnsi="FrankRuehl" w:cs="FrankRuehl"/>
          <w:color w:val="000000"/>
          <w:spacing w:val="10"/>
          <w:sz w:val="28"/>
          <w:szCs w:val="28"/>
          <w:rtl/>
        </w:rPr>
        <w:t xml:space="preserve"> (</w:t>
      </w:r>
      <w:r w:rsidRPr="00893B44">
        <w:rPr>
          <w:rFonts w:ascii="FrankRuehl" w:hAnsi="FrankRuehl" w:cs="FrankRuehl" w:hint="eastAsia"/>
          <w:color w:val="000000"/>
          <w:spacing w:val="10"/>
          <w:sz w:val="28"/>
          <w:szCs w:val="28"/>
          <w:rtl/>
        </w:rPr>
        <w:t>‏</w:t>
      </w:r>
      <w:r w:rsidR="00EF764C">
        <w:rPr>
          <w:rFonts w:ascii="FrankRuehl" w:hAnsi="FrankRuehl" w:cs="FrankRuehl" w:hint="cs"/>
          <w:color w:val="000000"/>
          <w:spacing w:val="10"/>
          <w:sz w:val="28"/>
          <w:szCs w:val="28"/>
          <w:rtl/>
        </w:rPr>
        <w:t>14</w:t>
      </w:r>
      <w:r w:rsidRPr="00893B44">
        <w:rPr>
          <w:rFonts w:ascii="FrankRuehl" w:hAnsi="FrankRuehl" w:cs="FrankRuehl"/>
          <w:color w:val="000000"/>
          <w:spacing w:val="10"/>
          <w:sz w:val="28"/>
          <w:szCs w:val="28"/>
          <w:rtl/>
        </w:rPr>
        <w:t>.7.2024).</w:t>
      </w:r>
    </w:p>
    <w:p w:rsidR="00893B44" w:rsidRDefault="00893B44" w:rsidP="00893B44">
      <w:pPr>
        <w:pStyle w:val="ruller42"/>
        <w:bidi/>
        <w:spacing w:before="0" w:beforeAutospacing="0" w:after="0" w:afterAutospacing="0" w:line="330" w:lineRule="atLeast"/>
        <w:jc w:val="both"/>
        <w:rPr>
          <w:rFonts w:ascii="Arial TUR" w:hAnsi="Arial TUR" w:cs="Arial TUR"/>
          <w:color w:val="000000"/>
          <w:spacing w:val="10"/>
          <w:sz w:val="22"/>
          <w:szCs w:val="22"/>
          <w:rtl/>
        </w:rPr>
      </w:pPr>
    </w:p>
    <w:p w:rsidR="00893B44" w:rsidRPr="000837EA" w:rsidRDefault="00893B44" w:rsidP="000837EA">
      <w:pPr>
        <w:pStyle w:val="Ruller4"/>
        <w:rPr>
          <w:rtl/>
        </w:rPr>
      </w:pPr>
    </w:p>
    <w:tbl>
      <w:tblPr>
        <w:bidiVisual/>
        <w:tblW w:w="0" w:type="auto"/>
        <w:tblCellMar>
          <w:left w:w="0" w:type="dxa"/>
          <w:right w:w="0" w:type="dxa"/>
        </w:tblCellMar>
        <w:tblLook w:val="04A0" w:firstRow="1" w:lastRow="0" w:firstColumn="1" w:lastColumn="0" w:noHBand="0" w:noVBand="1"/>
      </w:tblPr>
      <w:tblGrid>
        <w:gridCol w:w="2767"/>
        <w:gridCol w:w="2767"/>
        <w:gridCol w:w="2768"/>
      </w:tblGrid>
      <w:tr w:rsidR="00893B44" w:rsidRPr="00893B44" w:rsidTr="00893B44">
        <w:tc>
          <w:tcPr>
            <w:tcW w:w="2767" w:type="dxa"/>
            <w:tcMar>
              <w:top w:w="0" w:type="dxa"/>
              <w:left w:w="108" w:type="dxa"/>
              <w:bottom w:w="0" w:type="dxa"/>
              <w:right w:w="108" w:type="dxa"/>
            </w:tcMar>
            <w:hideMark/>
          </w:tcPr>
          <w:p w:rsidR="00893B44" w:rsidRPr="00893B44" w:rsidRDefault="00893B44" w:rsidP="00893B44">
            <w:pPr>
              <w:overflowPunct/>
              <w:autoSpaceDE/>
              <w:autoSpaceDN/>
              <w:adjustRightInd/>
              <w:spacing w:line="330" w:lineRule="atLeast"/>
              <w:jc w:val="both"/>
              <w:textAlignment w:val="auto"/>
              <w:rPr>
                <w:rFonts w:ascii="Arial TUR" w:hAnsi="Arial TUR" w:cs="Arial TUR"/>
                <w:color w:val="000000"/>
                <w:spacing w:val="10"/>
                <w:sz w:val="22"/>
                <w:szCs w:val="22"/>
              </w:rPr>
            </w:pPr>
            <w:r w:rsidRPr="00893B44">
              <w:rPr>
                <w:rFonts w:ascii="FrankRuehl" w:hAnsi="FrankRuehl" w:cs="FrankRuehl"/>
                <w:color w:val="FFFFFF"/>
                <w:spacing w:val="10"/>
                <w:sz w:val="2"/>
                <w:szCs w:val="2"/>
                <w:rtl/>
              </w:rPr>
              <w:t>54678313</w:t>
            </w:r>
            <w:r w:rsidRPr="00893B44">
              <w:rPr>
                <w:rFonts w:ascii="FrankRuehl" w:hAnsi="FrankRuehl" w:cs="FrankRuehl"/>
                <w:color w:val="000000"/>
                <w:spacing w:val="10"/>
                <w:sz w:val="28"/>
                <w:szCs w:val="28"/>
                <w:rtl/>
              </w:rPr>
              <w:t>ש ו פ ט</w:t>
            </w:r>
          </w:p>
        </w:tc>
        <w:tc>
          <w:tcPr>
            <w:tcW w:w="2767" w:type="dxa"/>
            <w:tcMar>
              <w:top w:w="0" w:type="dxa"/>
              <w:left w:w="108" w:type="dxa"/>
              <w:bottom w:w="0" w:type="dxa"/>
              <w:right w:w="108" w:type="dxa"/>
            </w:tcMar>
            <w:hideMark/>
          </w:tcPr>
          <w:p w:rsidR="00893B44" w:rsidRPr="00893B44" w:rsidRDefault="00893B44" w:rsidP="00893B44">
            <w:pPr>
              <w:overflowPunct/>
              <w:autoSpaceDE/>
              <w:autoSpaceDN/>
              <w:adjustRightInd/>
              <w:spacing w:line="330" w:lineRule="atLeast"/>
              <w:jc w:val="center"/>
              <w:textAlignment w:val="auto"/>
              <w:rPr>
                <w:rFonts w:ascii="Arial TUR" w:hAnsi="Arial TUR" w:cs="Arial TUR"/>
                <w:color w:val="000000"/>
                <w:spacing w:val="10"/>
                <w:sz w:val="22"/>
                <w:szCs w:val="22"/>
                <w:rtl/>
              </w:rPr>
            </w:pPr>
            <w:r w:rsidRPr="00893B44">
              <w:rPr>
                <w:rFonts w:ascii="FrankRuehl" w:hAnsi="FrankRuehl" w:cs="FrankRuehl"/>
                <w:color w:val="000000"/>
                <w:spacing w:val="10"/>
                <w:sz w:val="28"/>
                <w:szCs w:val="28"/>
                <w:rtl/>
              </w:rPr>
              <w:t>ש ו פ ט</w:t>
            </w:r>
          </w:p>
        </w:tc>
        <w:tc>
          <w:tcPr>
            <w:tcW w:w="2768" w:type="dxa"/>
            <w:tcMar>
              <w:top w:w="0" w:type="dxa"/>
              <w:left w:w="108" w:type="dxa"/>
              <w:bottom w:w="0" w:type="dxa"/>
              <w:right w:w="108" w:type="dxa"/>
            </w:tcMar>
            <w:hideMark/>
          </w:tcPr>
          <w:p w:rsidR="00893B44" w:rsidRPr="00893B44" w:rsidRDefault="00893B44" w:rsidP="00893B44">
            <w:pPr>
              <w:overflowPunct/>
              <w:autoSpaceDE/>
              <w:autoSpaceDN/>
              <w:adjustRightInd/>
              <w:spacing w:line="330" w:lineRule="atLeast"/>
              <w:jc w:val="right"/>
              <w:textAlignment w:val="auto"/>
              <w:rPr>
                <w:rFonts w:ascii="Arial TUR" w:hAnsi="Arial TUR" w:cs="Arial TUR"/>
                <w:color w:val="000000"/>
                <w:spacing w:val="10"/>
                <w:sz w:val="22"/>
                <w:szCs w:val="22"/>
                <w:rtl/>
              </w:rPr>
            </w:pPr>
            <w:r w:rsidRPr="00893B44">
              <w:rPr>
                <w:rFonts w:ascii="FrankRuehl" w:hAnsi="FrankRuehl" w:cs="FrankRuehl"/>
                <w:color w:val="000000"/>
                <w:spacing w:val="10"/>
                <w:sz w:val="28"/>
                <w:szCs w:val="28"/>
                <w:rtl/>
              </w:rPr>
              <w:t>ש ו פ ט ת</w:t>
            </w:r>
          </w:p>
        </w:tc>
      </w:tr>
    </w:tbl>
    <w:p w:rsidR="00916FF8" w:rsidRDefault="00916FF8">
      <w:pPr>
        <w:rPr>
          <w:szCs w:val="16"/>
          <w:rtl/>
        </w:rPr>
      </w:pPr>
      <w:r>
        <w:rPr>
          <w:szCs w:val="16"/>
          <w:rtl/>
        </w:rPr>
        <w:t>_________________</w:t>
      </w:r>
      <w:r w:rsidR="00A12E0F">
        <w:rPr>
          <w:rFonts w:hint="cs"/>
          <w:szCs w:val="16"/>
          <w:rtl/>
        </w:rPr>
        <w:t>________</w:t>
      </w:r>
    </w:p>
    <w:p w:rsidR="00916FF8" w:rsidRDefault="00591983" w:rsidP="00320A94">
      <w:pPr>
        <w:pStyle w:val="Ruller38"/>
        <w:rPr>
          <w:rtl/>
        </w:rPr>
      </w:pPr>
      <w:r>
        <w:rPr>
          <w:sz w:val="16"/>
        </w:rPr>
        <w:t xml:space="preserve"> </w:t>
      </w:r>
      <w:r w:rsidR="00A12E0F">
        <w:rPr>
          <w:sz w:val="16"/>
        </w:rPr>
        <w:t xml:space="preserve">  </w:t>
      </w:r>
      <w:r w:rsidR="004E1787">
        <w:rPr>
          <w:sz w:val="16"/>
        </w:rPr>
        <w:t xml:space="preserve">23053340_J10.docx   </w:t>
      </w:r>
    </w:p>
    <w:p w:rsidR="003F1F97" w:rsidRDefault="00591983" w:rsidP="000E36BB">
      <w:pPr>
        <w:pStyle w:val="Ruller38"/>
        <w:rPr>
          <w:rtl/>
        </w:rPr>
      </w:pPr>
      <w:r>
        <w:rPr>
          <w:rtl/>
        </w:rPr>
        <w:t>מרכז מידע, טל'</w:t>
      </w:r>
      <w:r>
        <w:rPr>
          <w:rFonts w:hint="cs"/>
          <w:rtl/>
        </w:rPr>
        <w:t xml:space="preserve"> </w:t>
      </w:r>
      <w:r w:rsidR="00B63343">
        <w:rPr>
          <w:rFonts w:hint="cs"/>
          <w:rtl/>
        </w:rPr>
        <w:t>077</w:t>
      </w:r>
      <w:r>
        <w:rPr>
          <w:rFonts w:hint="cs"/>
          <w:rtl/>
        </w:rPr>
        <w:t>-</w:t>
      </w:r>
      <w:r w:rsidR="00B63343">
        <w:rPr>
          <w:rFonts w:hint="cs"/>
          <w:rtl/>
        </w:rPr>
        <w:t>270</w:t>
      </w:r>
      <w:r w:rsidR="00E21CA9">
        <w:rPr>
          <w:rFonts w:hint="cs"/>
          <w:rtl/>
        </w:rPr>
        <w:t>3</w:t>
      </w:r>
      <w:r w:rsidR="009B38DA">
        <w:rPr>
          <w:rFonts w:hint="cs"/>
          <w:rtl/>
        </w:rPr>
        <w:t>333</w:t>
      </w:r>
      <w:r w:rsidR="00866D0F">
        <w:rPr>
          <w:rFonts w:hint="cs"/>
          <w:rtl/>
        </w:rPr>
        <w:t>, 3852*</w:t>
      </w:r>
      <w:r>
        <w:rPr>
          <w:rFonts w:hint="cs"/>
          <w:rtl/>
        </w:rPr>
        <w:t xml:space="preserve"> ; אתר אינטרנט,  </w:t>
      </w:r>
      <w:hyperlink r:id="rId10" w:history="1">
        <w:r w:rsidR="00852C5C" w:rsidRPr="00754194">
          <w:rPr>
            <w:rStyle w:val="Hyperlink"/>
            <w:sz w:val="16"/>
          </w:rPr>
          <w:t>https://supreme.court.gov.il</w:t>
        </w:r>
      </w:hyperlink>
    </w:p>
    <w:sectPr w:rsidR="003F1F97" w:rsidSect="00591983">
      <w:headerReference w:type="even" r:id="rId11"/>
      <w:headerReference w:type="default" r:id="rId12"/>
      <w:footerReference w:type="even" r:id="rId13"/>
      <w:footerReference w:type="default" r:id="rId14"/>
      <w:headerReference w:type="first" r:id="rId15"/>
      <w:footerReference w:type="first" r:id="rId16"/>
      <w:endnotePr>
        <w:numFmt w:val="lowerLetter"/>
      </w:endnotePr>
      <w:pgSz w:w="11906" w:h="16838" w:code="9"/>
      <w:pgMar w:top="1134" w:right="1797" w:bottom="1440" w:left="1797" w:header="567" w:footer="397" w:gutter="0"/>
      <w:cols w:space="720"/>
      <w:titlePg/>
      <w:bidi/>
      <w:rtlGutter/>
    </w:sectPr>
  </w:body>
</w:document>
</file>

<file path=word/customizations.xml><?xml version="1.0" encoding="utf-8"?>
<wne:tcg xmlns:r="http://schemas.openxmlformats.org/officeDocument/2006/relationships" xmlns:wne="http://schemas.microsoft.com/office/word/2006/wordml">
  <wne:keymaps>
    <wne:keymap wne:kcmPrimary="0433">
      <wne:acd wne:acdName="acd0"/>
    </wne:keymap>
    <wne:keymap wne:kcmPrimary="0434">
      <wne:acd wne:acdName="acd1"/>
    </wne:keymap>
    <wne:keymap wne:kcmPrimary="0435">
      <wne:acd wne:acdName="acd2"/>
    </wne:keymap>
  </wne:keymaps>
  <wne:toolbars>
    <wne:acdManifest>
      <wne:acdEntry wne:acdName="acd0"/>
      <wne:acdEntry wne:acdName="acd1"/>
      <wne:acdEntry wne:acdName="acd2"/>
    </wne:acdManifest>
    <wne:toolbarData r:id="rId1"/>
  </wne:toolbars>
  <wne:acds>
    <wne:acd wne:argValue="AgBSAHUAbABsAGUAcgAgADMA" wne:acdName="acd0" wne:fciIndexBasedOn="0065"/>
    <wne:acd wne:argValue="AgBSAHUAbABsAGUAcgA0AA==" wne:acdName="acd1" wne:fciIndexBasedOn="0065"/>
    <wne:acd wne:argValue="AgBSAHUAbABsAGUAcgA1AA==" wne:acdName="acd2"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0F46" w:rsidRDefault="00400F46">
      <w:r>
        <w:separator/>
      </w:r>
    </w:p>
  </w:endnote>
  <w:endnote w:type="continuationSeparator" w:id="0">
    <w:p w:rsidR="00400F46" w:rsidRDefault="00400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Arial TUR">
    <w:charset w:val="00"/>
    <w:family w:val="swiss"/>
    <w:pitch w:val="variable"/>
    <w:sig w:usb0="E0002EFF" w:usb1="C000785B" w:usb2="00000009" w:usb3="00000000" w:csb0="000001FF" w:csb1="00000000"/>
  </w:font>
  <w:font w:name="DavidFix">
    <w:charset w:val="B1"/>
    <w:family w:val="auto"/>
    <w:pitch w:val="variable"/>
    <w:sig w:usb0="00001801" w:usb1="00000000" w:usb2="00000000" w:usb3="00000000" w:csb0="00000020" w:csb1="00000000"/>
  </w:font>
  <w:font w:name="Guttman Yad">
    <w:panose1 w:val="02010401010101010101"/>
    <w:charset w:val="B1"/>
    <w:family w:val="auto"/>
    <w:pitch w:val="variable"/>
    <w:sig w:usb0="00000801" w:usb1="40000000" w:usb2="00000000" w:usb3="00000000" w:csb0="00000020"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Miriam">
    <w:panose1 w:val="020B050205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7102" w:rsidRDefault="00377102">
    <w:pPr>
      <w:pStyle w:val="a3"/>
      <w:framePr w:wrap="around" w:vAnchor="text" w:hAnchor="margin" w:xAlign="center" w:y="1"/>
      <w:rPr>
        <w:rStyle w:val="a4"/>
        <w:rtl/>
      </w:rPr>
    </w:pPr>
    <w:r>
      <w:rPr>
        <w:rStyle w:val="a4"/>
        <w:rtl/>
      </w:rPr>
      <w:fldChar w:fldCharType="begin"/>
    </w:r>
    <w:r>
      <w:rPr>
        <w:rStyle w:val="a4"/>
      </w:rPr>
      <w:instrText xml:space="preserve">PAGE  </w:instrText>
    </w:r>
    <w:r>
      <w:rPr>
        <w:rStyle w:val="a4"/>
        <w:rtl/>
      </w:rPr>
      <w:fldChar w:fldCharType="separate"/>
    </w:r>
    <w:r w:rsidR="00BC0E82">
      <w:rPr>
        <w:rStyle w:val="a4"/>
        <w:noProof/>
        <w:rtl/>
      </w:rPr>
      <w:t>1</w:t>
    </w:r>
    <w:r>
      <w:rPr>
        <w:rStyle w:val="a4"/>
        <w:rtl/>
      </w:rPr>
      <w:fldChar w:fldCharType="end"/>
    </w:r>
  </w:p>
  <w:p w:rsidR="00377102" w:rsidRDefault="00377102">
    <w:pPr>
      <w:pStyle w:val="a3"/>
      <w:rPr>
        <w:rtl/>
      </w:rPr>
    </w:pPr>
  </w:p>
  <w:p w:rsidR="00377102" w:rsidRDefault="00377102"/>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01DF" w:rsidRDefault="005601DF">
    <w:pPr>
      <w:pStyle w:val="a3"/>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5B4D" w:rsidRPr="00F959DB" w:rsidRDefault="00045B4D" w:rsidP="00914156">
    <w:pPr>
      <w:pStyle w:val="a3"/>
      <w:bidi w:val="0"/>
      <w:jc w:val="right"/>
      <w:rPr>
        <w:sz w:val="16"/>
        <w:szCs w:val="16"/>
      </w:rPr>
    </w:pPr>
    <w:bookmarkStart w:id="5" w:name="footer_line"/>
    <w:bookmarkEnd w:id="5"/>
  </w:p>
  <w:p w:rsidR="00045B4D" w:rsidRDefault="00045B4D">
    <w:pPr>
      <w:pStyle w:val="a3"/>
      <w:rPr>
        <w:rt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0F46" w:rsidRDefault="00400F46">
      <w:r>
        <w:separator/>
      </w:r>
    </w:p>
  </w:footnote>
  <w:footnote w:type="continuationSeparator" w:id="0">
    <w:p w:rsidR="00400F46" w:rsidRDefault="00400F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7102" w:rsidRDefault="00377102">
    <w:pPr>
      <w:pStyle w:val="a5"/>
      <w:framePr w:wrap="around" w:vAnchor="text" w:hAnchor="margin" w:xAlign="center" w:y="1"/>
      <w:rPr>
        <w:rStyle w:val="a4"/>
        <w:rtl/>
      </w:rPr>
    </w:pPr>
    <w:r>
      <w:rPr>
        <w:rStyle w:val="a4"/>
        <w:rtl/>
      </w:rPr>
      <w:fldChar w:fldCharType="begin"/>
    </w:r>
    <w:r>
      <w:rPr>
        <w:rStyle w:val="a4"/>
      </w:rPr>
      <w:instrText xml:space="preserve">PAGE  </w:instrText>
    </w:r>
    <w:r>
      <w:rPr>
        <w:rStyle w:val="a4"/>
        <w:rtl/>
      </w:rPr>
      <w:fldChar w:fldCharType="separate"/>
    </w:r>
    <w:r w:rsidR="00BC0E82">
      <w:rPr>
        <w:rStyle w:val="a4"/>
        <w:noProof/>
        <w:rtl/>
      </w:rPr>
      <w:t>1</w:t>
    </w:r>
    <w:r>
      <w:rPr>
        <w:rStyle w:val="a4"/>
        <w:rtl/>
      </w:rPr>
      <w:fldChar w:fldCharType="end"/>
    </w:r>
  </w:p>
  <w:p w:rsidR="00377102" w:rsidRDefault="00377102">
    <w:pPr>
      <w:pStyle w:val="a5"/>
      <w:rPr>
        <w:rtl/>
      </w:rPr>
    </w:pPr>
  </w:p>
  <w:p w:rsidR="00377102" w:rsidRDefault="0037710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7102" w:rsidRDefault="00377102">
    <w:pPr>
      <w:pStyle w:val="a5"/>
      <w:framePr w:wrap="around" w:vAnchor="text" w:hAnchor="margin" w:xAlign="center" w:y="1"/>
      <w:rPr>
        <w:rStyle w:val="a4"/>
        <w:rtl/>
      </w:rPr>
    </w:pPr>
    <w:r>
      <w:rPr>
        <w:rStyle w:val="a4"/>
        <w:rtl/>
      </w:rPr>
      <w:fldChar w:fldCharType="begin"/>
    </w:r>
    <w:r>
      <w:rPr>
        <w:rStyle w:val="a4"/>
      </w:rPr>
      <w:instrText xml:space="preserve">PAGE  </w:instrText>
    </w:r>
    <w:r>
      <w:rPr>
        <w:rStyle w:val="a4"/>
        <w:rtl/>
      </w:rPr>
      <w:fldChar w:fldCharType="separate"/>
    </w:r>
    <w:r w:rsidR="00C87CE1">
      <w:rPr>
        <w:rStyle w:val="a4"/>
        <w:noProof/>
        <w:rtl/>
      </w:rPr>
      <w:t>21</w:t>
    </w:r>
    <w:r>
      <w:rPr>
        <w:rStyle w:val="a4"/>
        <w:rtl/>
      </w:rPr>
      <w:fldChar w:fldCharType="end"/>
    </w:r>
  </w:p>
  <w:p w:rsidR="00377102" w:rsidRDefault="00377102">
    <w:pPr>
      <w:pStyle w:val="a5"/>
      <w:rPr>
        <w:rtl/>
      </w:rPr>
    </w:pPr>
  </w:p>
  <w:p w:rsidR="00377102" w:rsidRDefault="00377102"/>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8363" w:type="dxa"/>
      <w:tblLook w:val="0000" w:firstRow="0" w:lastRow="0" w:firstColumn="0" w:lastColumn="0" w:noHBand="0" w:noVBand="0"/>
    </w:tblPr>
    <w:tblGrid>
      <w:gridCol w:w="8363"/>
    </w:tblGrid>
    <w:tr w:rsidR="00045B4D" w:rsidTr="00EC23AC">
      <w:trPr>
        <w:trHeight w:val="342"/>
      </w:trPr>
      <w:tc>
        <w:tcPr>
          <w:tcW w:w="9828" w:type="dxa"/>
        </w:tcPr>
        <w:p w:rsidR="00377102" w:rsidRPr="002F7BB6" w:rsidRDefault="00EE3810" w:rsidP="00045B4D">
          <w:pPr>
            <w:pStyle w:val="Casenameintextbody"/>
            <w:jc w:val="center"/>
            <w:rPr>
              <w:u w:val="none"/>
              <w:rtl/>
            </w:rPr>
          </w:pPr>
          <w:r w:rsidRPr="002F7BB6">
            <w:rPr>
              <w:noProof/>
              <w:sz w:val="16"/>
              <w:szCs w:val="18"/>
              <w:u w:val="none"/>
              <w:rtl/>
            </w:rPr>
            <w:drawing>
              <wp:inline distT="0" distB="0" distL="0" distR="0">
                <wp:extent cx="464820" cy="449580"/>
                <wp:effectExtent l="0" t="0" r="0" b="762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4820" cy="449580"/>
                        </a:xfrm>
                        <a:prstGeom prst="rect">
                          <a:avLst/>
                        </a:prstGeom>
                        <a:noFill/>
                        <a:ln>
                          <a:noFill/>
                        </a:ln>
                      </pic:spPr>
                    </pic:pic>
                  </a:graphicData>
                </a:graphic>
              </wp:inline>
            </w:drawing>
          </w:r>
        </w:p>
      </w:tc>
    </w:tr>
  </w:tbl>
  <w:p w:rsidR="00045B4D" w:rsidRDefault="00045B4D" w:rsidP="00045B4D">
    <w:pPr>
      <w:pStyle w:val="a5"/>
      <w:jc w:val="center"/>
      <w:rPr>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77A4F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B8EE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485F0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83003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204653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1CCE6B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10264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21A09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7046C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B800B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A6001B"/>
    <w:multiLevelType w:val="hybridMultilevel"/>
    <w:tmpl w:val="78303D34"/>
    <w:lvl w:ilvl="0" w:tplc="60003BD6">
      <w:start w:val="1"/>
      <w:numFmt w:val="decimal"/>
      <w:lvlText w:val="%1."/>
      <w:lvlJc w:val="left"/>
      <w:pPr>
        <w:tabs>
          <w:tab w:val="num" w:pos="907"/>
        </w:tabs>
        <w:ind w:left="0" w:firstLine="0"/>
      </w:pPr>
      <w:rPr>
        <w:rFonts w:hint="default"/>
        <w:lang w:bidi="he-IL"/>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0"/>
  <w:defaultTabStop w:val="720"/>
  <w:drawingGridHorizontalSpacing w:val="120"/>
  <w:drawingGridVerticalSpacing w:val="120"/>
  <w:displayVerticalDrawingGridEvery w:val="0"/>
  <w:doNotUseMarginsForDrawingGridOrigin/>
  <w:doNotShadeFormData/>
  <w:noPunctuationKerning/>
  <w:characterSpacingControl w:val="doNotCompress"/>
  <w:footnotePr>
    <w:footnote w:id="-1"/>
    <w:footnote w:id="0"/>
  </w:footnotePr>
  <w:endnotePr>
    <w:numFmt w:val="lowerLette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227"/>
    <w:rsid w:val="00016EF1"/>
    <w:rsid w:val="000300AD"/>
    <w:rsid w:val="000309FE"/>
    <w:rsid w:val="00031409"/>
    <w:rsid w:val="00032036"/>
    <w:rsid w:val="00036227"/>
    <w:rsid w:val="00044953"/>
    <w:rsid w:val="00045B4D"/>
    <w:rsid w:val="00047A70"/>
    <w:rsid w:val="000536AA"/>
    <w:rsid w:val="000553AB"/>
    <w:rsid w:val="000725F5"/>
    <w:rsid w:val="00072AD2"/>
    <w:rsid w:val="00073004"/>
    <w:rsid w:val="000837EA"/>
    <w:rsid w:val="000A14EB"/>
    <w:rsid w:val="000A7EDB"/>
    <w:rsid w:val="000B1478"/>
    <w:rsid w:val="000B54A4"/>
    <w:rsid w:val="000C4690"/>
    <w:rsid w:val="000D25C4"/>
    <w:rsid w:val="000D2974"/>
    <w:rsid w:val="000E36BB"/>
    <w:rsid w:val="00134A67"/>
    <w:rsid w:val="00136CDA"/>
    <w:rsid w:val="001625A8"/>
    <w:rsid w:val="0016693F"/>
    <w:rsid w:val="00166BBE"/>
    <w:rsid w:val="00171782"/>
    <w:rsid w:val="001766DD"/>
    <w:rsid w:val="00177384"/>
    <w:rsid w:val="00194097"/>
    <w:rsid w:val="001A0164"/>
    <w:rsid w:val="001A1630"/>
    <w:rsid w:val="001B0AFB"/>
    <w:rsid w:val="001B45C5"/>
    <w:rsid w:val="00200D6B"/>
    <w:rsid w:val="00217089"/>
    <w:rsid w:val="002225A2"/>
    <w:rsid w:val="0022432F"/>
    <w:rsid w:val="002473F0"/>
    <w:rsid w:val="002529CE"/>
    <w:rsid w:val="0025316E"/>
    <w:rsid w:val="00260733"/>
    <w:rsid w:val="00265F6E"/>
    <w:rsid w:val="002876BF"/>
    <w:rsid w:val="00292350"/>
    <w:rsid w:val="00293517"/>
    <w:rsid w:val="002A4A7A"/>
    <w:rsid w:val="002A4BF3"/>
    <w:rsid w:val="002B4987"/>
    <w:rsid w:val="002B4EF3"/>
    <w:rsid w:val="002E1091"/>
    <w:rsid w:val="002E5EB4"/>
    <w:rsid w:val="002F7BB6"/>
    <w:rsid w:val="0030151E"/>
    <w:rsid w:val="00316615"/>
    <w:rsid w:val="00320A94"/>
    <w:rsid w:val="00324607"/>
    <w:rsid w:val="00325F79"/>
    <w:rsid w:val="00326127"/>
    <w:rsid w:val="003266BD"/>
    <w:rsid w:val="00332B90"/>
    <w:rsid w:val="00337892"/>
    <w:rsid w:val="003448B2"/>
    <w:rsid w:val="0035184D"/>
    <w:rsid w:val="00361DB2"/>
    <w:rsid w:val="00363AB6"/>
    <w:rsid w:val="0037622E"/>
    <w:rsid w:val="00377102"/>
    <w:rsid w:val="00377BF0"/>
    <w:rsid w:val="0039709B"/>
    <w:rsid w:val="003B782F"/>
    <w:rsid w:val="003D72DA"/>
    <w:rsid w:val="003E42D4"/>
    <w:rsid w:val="003E48C2"/>
    <w:rsid w:val="003E6A18"/>
    <w:rsid w:val="003F1F97"/>
    <w:rsid w:val="003F6E38"/>
    <w:rsid w:val="00400F46"/>
    <w:rsid w:val="00402D99"/>
    <w:rsid w:val="0041048F"/>
    <w:rsid w:val="00412605"/>
    <w:rsid w:val="004231BD"/>
    <w:rsid w:val="00437D59"/>
    <w:rsid w:val="00445E21"/>
    <w:rsid w:val="00446262"/>
    <w:rsid w:val="004607A8"/>
    <w:rsid w:val="004610A4"/>
    <w:rsid w:val="00462435"/>
    <w:rsid w:val="0046466C"/>
    <w:rsid w:val="00485AFA"/>
    <w:rsid w:val="004B29FF"/>
    <w:rsid w:val="004B47A7"/>
    <w:rsid w:val="004B729E"/>
    <w:rsid w:val="004C7868"/>
    <w:rsid w:val="004C7B80"/>
    <w:rsid w:val="004D2277"/>
    <w:rsid w:val="004E1787"/>
    <w:rsid w:val="005026FE"/>
    <w:rsid w:val="00503A3E"/>
    <w:rsid w:val="0051491A"/>
    <w:rsid w:val="00527F02"/>
    <w:rsid w:val="00542D8A"/>
    <w:rsid w:val="00554AC3"/>
    <w:rsid w:val="005557E1"/>
    <w:rsid w:val="005601DF"/>
    <w:rsid w:val="00562C00"/>
    <w:rsid w:val="005803E2"/>
    <w:rsid w:val="00580781"/>
    <w:rsid w:val="0058440A"/>
    <w:rsid w:val="00591983"/>
    <w:rsid w:val="00593406"/>
    <w:rsid w:val="00593B9A"/>
    <w:rsid w:val="00594811"/>
    <w:rsid w:val="005B141F"/>
    <w:rsid w:val="005D0160"/>
    <w:rsid w:val="005E094A"/>
    <w:rsid w:val="005E48A1"/>
    <w:rsid w:val="005F601B"/>
    <w:rsid w:val="006113CB"/>
    <w:rsid w:val="00616F1D"/>
    <w:rsid w:val="00624A42"/>
    <w:rsid w:val="00630A6E"/>
    <w:rsid w:val="006545BC"/>
    <w:rsid w:val="0065522F"/>
    <w:rsid w:val="006557D7"/>
    <w:rsid w:val="0066189C"/>
    <w:rsid w:val="00665D88"/>
    <w:rsid w:val="006A30F7"/>
    <w:rsid w:val="006A3A53"/>
    <w:rsid w:val="006A440A"/>
    <w:rsid w:val="006B5920"/>
    <w:rsid w:val="006C1290"/>
    <w:rsid w:val="006C42AD"/>
    <w:rsid w:val="00725345"/>
    <w:rsid w:val="007324FF"/>
    <w:rsid w:val="00741CC0"/>
    <w:rsid w:val="00742C58"/>
    <w:rsid w:val="00743B29"/>
    <w:rsid w:val="00760094"/>
    <w:rsid w:val="007667B3"/>
    <w:rsid w:val="00773892"/>
    <w:rsid w:val="007905D4"/>
    <w:rsid w:val="00793824"/>
    <w:rsid w:val="007962C0"/>
    <w:rsid w:val="007B13CB"/>
    <w:rsid w:val="007B30F8"/>
    <w:rsid w:val="007B512F"/>
    <w:rsid w:val="007B7798"/>
    <w:rsid w:val="007C007F"/>
    <w:rsid w:val="007D2CFE"/>
    <w:rsid w:val="007D3A5A"/>
    <w:rsid w:val="007F0991"/>
    <w:rsid w:val="007F128E"/>
    <w:rsid w:val="007F7512"/>
    <w:rsid w:val="00806318"/>
    <w:rsid w:val="00810894"/>
    <w:rsid w:val="008143AB"/>
    <w:rsid w:val="00820D1F"/>
    <w:rsid w:val="0083345F"/>
    <w:rsid w:val="00835EF3"/>
    <w:rsid w:val="00836667"/>
    <w:rsid w:val="00852C5C"/>
    <w:rsid w:val="0085672B"/>
    <w:rsid w:val="00865DA7"/>
    <w:rsid w:val="0086665C"/>
    <w:rsid w:val="00866D0F"/>
    <w:rsid w:val="0086793B"/>
    <w:rsid w:val="00884E3A"/>
    <w:rsid w:val="008877B5"/>
    <w:rsid w:val="00893B44"/>
    <w:rsid w:val="008A7FDF"/>
    <w:rsid w:val="008C0E07"/>
    <w:rsid w:val="008C2F11"/>
    <w:rsid w:val="008C51FD"/>
    <w:rsid w:val="008D206A"/>
    <w:rsid w:val="008D78B9"/>
    <w:rsid w:val="008D7951"/>
    <w:rsid w:val="008D7D28"/>
    <w:rsid w:val="008E1F81"/>
    <w:rsid w:val="008E3F85"/>
    <w:rsid w:val="008F0170"/>
    <w:rsid w:val="009002FA"/>
    <w:rsid w:val="009006D5"/>
    <w:rsid w:val="0090432A"/>
    <w:rsid w:val="009051E8"/>
    <w:rsid w:val="00911AA2"/>
    <w:rsid w:val="00914156"/>
    <w:rsid w:val="00916FF8"/>
    <w:rsid w:val="00922093"/>
    <w:rsid w:val="00930C85"/>
    <w:rsid w:val="00940103"/>
    <w:rsid w:val="00944B1C"/>
    <w:rsid w:val="00953D6B"/>
    <w:rsid w:val="00960903"/>
    <w:rsid w:val="00961AF4"/>
    <w:rsid w:val="00964671"/>
    <w:rsid w:val="009710D0"/>
    <w:rsid w:val="00986EEE"/>
    <w:rsid w:val="00991E47"/>
    <w:rsid w:val="009A0788"/>
    <w:rsid w:val="009A595D"/>
    <w:rsid w:val="009B38DA"/>
    <w:rsid w:val="009C2130"/>
    <w:rsid w:val="009E1BD2"/>
    <w:rsid w:val="009E279F"/>
    <w:rsid w:val="009F20EC"/>
    <w:rsid w:val="009F2F53"/>
    <w:rsid w:val="009F4187"/>
    <w:rsid w:val="009F66D7"/>
    <w:rsid w:val="00A12E0F"/>
    <w:rsid w:val="00A23BF6"/>
    <w:rsid w:val="00A35AAB"/>
    <w:rsid w:val="00A43F74"/>
    <w:rsid w:val="00A46245"/>
    <w:rsid w:val="00A462B4"/>
    <w:rsid w:val="00A51FAE"/>
    <w:rsid w:val="00A55889"/>
    <w:rsid w:val="00A76438"/>
    <w:rsid w:val="00A77717"/>
    <w:rsid w:val="00A80845"/>
    <w:rsid w:val="00A84E1F"/>
    <w:rsid w:val="00A93F1C"/>
    <w:rsid w:val="00AB4DA0"/>
    <w:rsid w:val="00AB69F7"/>
    <w:rsid w:val="00AC5DCB"/>
    <w:rsid w:val="00AD097B"/>
    <w:rsid w:val="00AD10E7"/>
    <w:rsid w:val="00AD6389"/>
    <w:rsid w:val="00AD64B9"/>
    <w:rsid w:val="00AE022B"/>
    <w:rsid w:val="00AF4D93"/>
    <w:rsid w:val="00B009CC"/>
    <w:rsid w:val="00B05B46"/>
    <w:rsid w:val="00B0782A"/>
    <w:rsid w:val="00B1055A"/>
    <w:rsid w:val="00B206D4"/>
    <w:rsid w:val="00B41A93"/>
    <w:rsid w:val="00B53CA0"/>
    <w:rsid w:val="00B6120D"/>
    <w:rsid w:val="00B62B8C"/>
    <w:rsid w:val="00B63343"/>
    <w:rsid w:val="00B81D0D"/>
    <w:rsid w:val="00B87FF7"/>
    <w:rsid w:val="00BA0B08"/>
    <w:rsid w:val="00BB26E9"/>
    <w:rsid w:val="00BC0E82"/>
    <w:rsid w:val="00BC49C7"/>
    <w:rsid w:val="00BD40F9"/>
    <w:rsid w:val="00C10C32"/>
    <w:rsid w:val="00C3633C"/>
    <w:rsid w:val="00C37A10"/>
    <w:rsid w:val="00C41C86"/>
    <w:rsid w:val="00C42FC0"/>
    <w:rsid w:val="00C575C9"/>
    <w:rsid w:val="00C63A6C"/>
    <w:rsid w:val="00C71BE2"/>
    <w:rsid w:val="00C87CE1"/>
    <w:rsid w:val="00CA13AF"/>
    <w:rsid w:val="00CA1444"/>
    <w:rsid w:val="00CA5A39"/>
    <w:rsid w:val="00CA610D"/>
    <w:rsid w:val="00CB1590"/>
    <w:rsid w:val="00CB60E9"/>
    <w:rsid w:val="00CB7600"/>
    <w:rsid w:val="00CC0E9D"/>
    <w:rsid w:val="00CC3639"/>
    <w:rsid w:val="00CD1323"/>
    <w:rsid w:val="00CE422B"/>
    <w:rsid w:val="00D00B1D"/>
    <w:rsid w:val="00D00CB7"/>
    <w:rsid w:val="00D01EC5"/>
    <w:rsid w:val="00D23AE1"/>
    <w:rsid w:val="00D25F16"/>
    <w:rsid w:val="00D30565"/>
    <w:rsid w:val="00D41015"/>
    <w:rsid w:val="00D52805"/>
    <w:rsid w:val="00D56EA4"/>
    <w:rsid w:val="00D641BB"/>
    <w:rsid w:val="00D95665"/>
    <w:rsid w:val="00DA1952"/>
    <w:rsid w:val="00DA1BAE"/>
    <w:rsid w:val="00DC1E54"/>
    <w:rsid w:val="00DC3BE4"/>
    <w:rsid w:val="00DC3E1A"/>
    <w:rsid w:val="00DC4AD7"/>
    <w:rsid w:val="00DD2674"/>
    <w:rsid w:val="00DF181E"/>
    <w:rsid w:val="00E10842"/>
    <w:rsid w:val="00E10D03"/>
    <w:rsid w:val="00E20E2B"/>
    <w:rsid w:val="00E21CA9"/>
    <w:rsid w:val="00E26866"/>
    <w:rsid w:val="00E31063"/>
    <w:rsid w:val="00E31AE2"/>
    <w:rsid w:val="00E32546"/>
    <w:rsid w:val="00E36FE9"/>
    <w:rsid w:val="00E40118"/>
    <w:rsid w:val="00E51F19"/>
    <w:rsid w:val="00E537FE"/>
    <w:rsid w:val="00E63AB4"/>
    <w:rsid w:val="00E72854"/>
    <w:rsid w:val="00E73E98"/>
    <w:rsid w:val="00E74F48"/>
    <w:rsid w:val="00E75223"/>
    <w:rsid w:val="00E75572"/>
    <w:rsid w:val="00E82351"/>
    <w:rsid w:val="00E85AA1"/>
    <w:rsid w:val="00E90D72"/>
    <w:rsid w:val="00E949FA"/>
    <w:rsid w:val="00EA0BE1"/>
    <w:rsid w:val="00EA23D3"/>
    <w:rsid w:val="00EC23AC"/>
    <w:rsid w:val="00EC2992"/>
    <w:rsid w:val="00EC43EC"/>
    <w:rsid w:val="00EC5975"/>
    <w:rsid w:val="00ED198E"/>
    <w:rsid w:val="00ED46A4"/>
    <w:rsid w:val="00ED4CBD"/>
    <w:rsid w:val="00ED6FD9"/>
    <w:rsid w:val="00EE3810"/>
    <w:rsid w:val="00EF00D1"/>
    <w:rsid w:val="00EF764C"/>
    <w:rsid w:val="00F1578F"/>
    <w:rsid w:val="00F25F9F"/>
    <w:rsid w:val="00F40BD9"/>
    <w:rsid w:val="00F5503D"/>
    <w:rsid w:val="00F63C3B"/>
    <w:rsid w:val="00F649A4"/>
    <w:rsid w:val="00F73736"/>
    <w:rsid w:val="00F959DB"/>
    <w:rsid w:val="00FA2B41"/>
    <w:rsid w:val="00FB36C2"/>
    <w:rsid w:val="00FB4FD3"/>
    <w:rsid w:val="00FC0252"/>
    <w:rsid w:val="00FC33F0"/>
    <w:rsid w:val="00FD5E92"/>
    <w:rsid w:val="00FE165E"/>
    <w:rsid w:val="00FE4756"/>
    <w:rsid w:val="00FF0E6E"/>
    <w:rsid w:val="00FF193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5619468-7B89-4F55-9173-E022126D6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bidi/>
      <w:adjustRightInd w:val="0"/>
      <w:textAlignment w:val="baseline"/>
    </w:pPr>
    <w:rPr>
      <w:rFonts w:cs="David"/>
      <w:szCs w:val="24"/>
    </w:rPr>
  </w:style>
  <w:style w:type="paragraph" w:styleId="2">
    <w:name w:val="heading 2"/>
    <w:basedOn w:val="a"/>
    <w:link w:val="20"/>
    <w:uiPriority w:val="9"/>
    <w:qFormat/>
    <w:rsid w:val="000837EA"/>
    <w:pPr>
      <w:overflowPunct/>
      <w:autoSpaceDE/>
      <w:autoSpaceDN/>
      <w:bidi w:val="0"/>
      <w:adjustRightInd/>
      <w:spacing w:before="100" w:beforeAutospacing="1" w:after="100" w:afterAutospacing="1"/>
      <w:textAlignment w:val="auto"/>
      <w:outlineLvl w:val="1"/>
    </w:pPr>
    <w:rPr>
      <w:rFonts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uller3">
    <w:name w:val="Ruller 3"/>
    <w:basedOn w:val="a"/>
    <w:rsid w:val="00A51FAE"/>
    <w:pPr>
      <w:tabs>
        <w:tab w:val="left" w:pos="3210"/>
        <w:tab w:val="left" w:pos="6753"/>
      </w:tabs>
      <w:spacing w:line="360" w:lineRule="auto"/>
    </w:pPr>
    <w:rPr>
      <w:rFonts w:cs="FrankRuehl"/>
      <w:spacing w:val="10"/>
      <w:sz w:val="22"/>
      <w:szCs w:val="28"/>
    </w:rPr>
  </w:style>
  <w:style w:type="paragraph" w:customStyle="1" w:styleId="Pskdinhead">
    <w:name w:val="Pskdin head"/>
    <w:basedOn w:val="a"/>
    <w:pPr>
      <w:spacing w:line="360" w:lineRule="auto"/>
    </w:pPr>
    <w:rPr>
      <w:b/>
      <w:bCs/>
      <w:u w:val="single"/>
    </w:rPr>
  </w:style>
  <w:style w:type="paragraph" w:customStyle="1" w:styleId="FileNumber">
    <w:name w:val="File Number"/>
    <w:basedOn w:val="a"/>
    <w:pPr>
      <w:spacing w:line="360" w:lineRule="auto"/>
      <w:jc w:val="right"/>
    </w:pPr>
    <w:rPr>
      <w:bCs/>
    </w:rPr>
  </w:style>
  <w:style w:type="paragraph" w:customStyle="1" w:styleId="FirstpagestylePsakdin">
    <w:name w:val="First page style Psak din"/>
    <w:basedOn w:val="Ruller3"/>
    <w:pPr>
      <w:tabs>
        <w:tab w:val="clear" w:pos="3210"/>
        <w:tab w:val="left" w:pos="3209"/>
      </w:tabs>
    </w:pPr>
    <w:rPr>
      <w:bCs/>
    </w:rPr>
  </w:style>
  <w:style w:type="paragraph" w:customStyle="1" w:styleId="TyutaDate">
    <w:name w:val="Tyuta Date"/>
    <w:basedOn w:val="a"/>
    <w:pPr>
      <w:jc w:val="center"/>
    </w:pPr>
    <w:rPr>
      <w:b/>
      <w:bCs/>
      <w:i/>
      <w:iCs/>
      <w:sz w:val="28"/>
      <w:szCs w:val="28"/>
    </w:rPr>
  </w:style>
  <w:style w:type="paragraph" w:customStyle="1" w:styleId="DocumentHead">
    <w:name w:val="Document Head"/>
    <w:basedOn w:val="a"/>
    <w:pPr>
      <w:spacing w:line="360" w:lineRule="auto"/>
      <w:jc w:val="center"/>
    </w:pPr>
    <w:rPr>
      <w:bCs/>
      <w:spacing w:val="30"/>
      <w:szCs w:val="28"/>
      <w:u w:val="single"/>
    </w:rPr>
  </w:style>
  <w:style w:type="paragraph" w:customStyle="1" w:styleId="TfutzaList">
    <w:name w:val="Tfutza List"/>
    <w:basedOn w:val="a"/>
    <w:rPr>
      <w:i/>
      <w:iCs/>
    </w:rPr>
  </w:style>
  <w:style w:type="paragraph" w:customStyle="1" w:styleId="Ruller4">
    <w:name w:val="Ruller4"/>
    <w:basedOn w:val="a"/>
    <w:link w:val="Ruller40"/>
    <w:rsid w:val="00A51FAE"/>
    <w:pPr>
      <w:tabs>
        <w:tab w:val="left" w:pos="800"/>
      </w:tabs>
      <w:spacing w:line="360" w:lineRule="auto"/>
      <w:jc w:val="both"/>
    </w:pPr>
    <w:rPr>
      <w:rFonts w:ascii="Arial TUR" w:hAnsi="Arial TUR" w:cs="FrankRuehl"/>
      <w:spacing w:val="10"/>
      <w:sz w:val="22"/>
      <w:szCs w:val="28"/>
    </w:rPr>
  </w:style>
  <w:style w:type="paragraph" w:customStyle="1" w:styleId="Ruller5">
    <w:name w:val="Ruller5"/>
    <w:basedOn w:val="a"/>
    <w:rsid w:val="00A51FAE"/>
    <w:pPr>
      <w:ind w:left="1642" w:right="1282"/>
      <w:jc w:val="both"/>
    </w:pPr>
    <w:rPr>
      <w:rFonts w:ascii="Arial TUR" w:hAnsi="Arial TUR" w:cs="FrankRuehl"/>
      <w:spacing w:val="10"/>
      <w:sz w:val="22"/>
      <w:szCs w:val="28"/>
    </w:rPr>
  </w:style>
  <w:style w:type="paragraph" w:customStyle="1" w:styleId="Ruller6">
    <w:name w:val="Ruller6"/>
    <w:basedOn w:val="a"/>
    <w:rsid w:val="00A51FAE"/>
    <w:pPr>
      <w:tabs>
        <w:tab w:val="left" w:pos="794"/>
        <w:tab w:val="left" w:pos="2268"/>
        <w:tab w:val="left" w:pos="5783"/>
        <w:tab w:val="left" w:pos="7371"/>
      </w:tabs>
    </w:pPr>
    <w:rPr>
      <w:rFonts w:ascii="Arial TUR" w:hAnsi="Arial TUR" w:cs="DavidFix"/>
      <w:spacing w:val="10"/>
      <w:sz w:val="22"/>
      <w:szCs w:val="20"/>
    </w:rPr>
  </w:style>
  <w:style w:type="character" w:customStyle="1" w:styleId="Delete">
    <w:name w:val="Delete"/>
    <w:rPr>
      <w:strike/>
    </w:rPr>
  </w:style>
  <w:style w:type="paragraph" w:customStyle="1" w:styleId="WriterName">
    <w:name w:val="Writer Name"/>
    <w:basedOn w:val="Ruller4"/>
    <w:next w:val="Ruller4"/>
    <w:rPr>
      <w:rFonts w:cs="David"/>
      <w:b/>
      <w:bCs/>
      <w:u w:val="single"/>
    </w:rPr>
  </w:style>
  <w:style w:type="character" w:customStyle="1" w:styleId="Hand">
    <w:name w:val="Hand"/>
    <w:rPr>
      <w:rFonts w:cs="Guttman Yad"/>
    </w:rPr>
  </w:style>
  <w:style w:type="paragraph" w:styleId="a3">
    <w:name w:val="footer"/>
    <w:basedOn w:val="a"/>
    <w:pPr>
      <w:tabs>
        <w:tab w:val="center" w:pos="4153"/>
        <w:tab w:val="right" w:pos="8306"/>
      </w:tabs>
    </w:pPr>
  </w:style>
  <w:style w:type="character" w:styleId="a4">
    <w:name w:val="page number"/>
    <w:basedOn w:val="a0"/>
  </w:style>
  <w:style w:type="paragraph" w:styleId="a5">
    <w:name w:val="header"/>
    <w:basedOn w:val="a"/>
    <w:pPr>
      <w:tabs>
        <w:tab w:val="center" w:pos="4153"/>
        <w:tab w:val="right" w:pos="8306"/>
      </w:tabs>
    </w:pPr>
  </w:style>
  <w:style w:type="paragraph" w:customStyle="1" w:styleId="21">
    <w:name w:val="ñâðåï2"/>
    <w:basedOn w:val="a"/>
    <w:pPr>
      <w:overflowPunct/>
      <w:textAlignment w:val="auto"/>
    </w:pPr>
    <w:rPr>
      <w:rFonts w:cs="Times New Roman"/>
    </w:rPr>
  </w:style>
  <w:style w:type="paragraph" w:customStyle="1" w:styleId="Casenameintextbody">
    <w:name w:val="Case name in text body"/>
    <w:basedOn w:val="a"/>
    <w:pPr>
      <w:overflowPunct/>
      <w:jc w:val="right"/>
      <w:textAlignment w:val="auto"/>
    </w:pPr>
    <w:rPr>
      <w:rFonts w:cs="Times New Roman"/>
      <w:b/>
      <w:bCs/>
      <w:u w:val="single"/>
    </w:rPr>
  </w:style>
  <w:style w:type="paragraph" w:customStyle="1" w:styleId="precasestyle">
    <w:name w:val="pre_case style"/>
    <w:basedOn w:val="a"/>
    <w:pPr>
      <w:tabs>
        <w:tab w:val="left" w:pos="2552"/>
      </w:tabs>
      <w:overflowPunct/>
      <w:ind w:right="2549"/>
      <w:textAlignment w:val="auto"/>
    </w:pPr>
    <w:rPr>
      <w:rFonts w:cs="Times New Roman"/>
    </w:rPr>
  </w:style>
  <w:style w:type="paragraph" w:customStyle="1" w:styleId="BodyRuller">
    <w:name w:val="Body Ruller"/>
    <w:basedOn w:val="a"/>
    <w:rPr>
      <w:sz w:val="22"/>
      <w:szCs w:val="28"/>
    </w:rPr>
  </w:style>
  <w:style w:type="paragraph" w:customStyle="1" w:styleId="Ruller38">
    <w:name w:val="סגנון Ruller 3 + (מורכב) ‏8 נק"/>
    <w:basedOn w:val="BodyRuller"/>
    <w:rPr>
      <w:szCs w:val="16"/>
    </w:rPr>
  </w:style>
  <w:style w:type="character" w:customStyle="1" w:styleId="Ruller30">
    <w:name w:val="Ruller 3 תו"/>
    <w:rPr>
      <w:rFonts w:cs="FrankRuehl"/>
      <w:sz w:val="22"/>
      <w:szCs w:val="28"/>
      <w:lang w:val="en-US" w:eastAsia="en-US" w:bidi="he-IL"/>
    </w:rPr>
  </w:style>
  <w:style w:type="character" w:customStyle="1" w:styleId="BodyRuller0">
    <w:name w:val="Body Ruller תו"/>
    <w:rPr>
      <w:rFonts w:cs="David"/>
      <w:sz w:val="22"/>
      <w:szCs w:val="28"/>
      <w:lang w:val="en-US" w:eastAsia="en-US" w:bidi="he-IL"/>
    </w:rPr>
  </w:style>
  <w:style w:type="character" w:customStyle="1" w:styleId="Ruller380">
    <w:name w:val="סגנון Ruller 3 + (מורכב) ‏8 נק תו"/>
    <w:rPr>
      <w:rFonts w:cs="David"/>
      <w:sz w:val="22"/>
      <w:szCs w:val="16"/>
      <w:lang w:val="en-US" w:eastAsia="en-US" w:bidi="he-IL"/>
    </w:rPr>
  </w:style>
  <w:style w:type="paragraph" w:customStyle="1" w:styleId="FileNumber0">
    <w:name w:val="סגנון File Number + ימין"/>
    <w:basedOn w:val="FileNumber"/>
    <w:rsid w:val="004C7868"/>
    <w:pPr>
      <w:jc w:val="left"/>
    </w:pPr>
    <w:rPr>
      <w:szCs w:val="28"/>
    </w:rPr>
  </w:style>
  <w:style w:type="paragraph" w:customStyle="1" w:styleId="BODYVERDICT">
    <w:name w:val="BODY VERDICT"/>
    <w:basedOn w:val="a"/>
    <w:rsid w:val="00036227"/>
    <w:rPr>
      <w:rFonts w:cs="FrankRuehl"/>
      <w:spacing w:val="10"/>
      <w:sz w:val="22"/>
      <w:szCs w:val="28"/>
    </w:rPr>
  </w:style>
  <w:style w:type="character" w:styleId="Hyperlink">
    <w:name w:val="Hyperlink"/>
    <w:rsid w:val="003F1F97"/>
    <w:rPr>
      <w:color w:val="0000FF"/>
      <w:u w:val="single"/>
    </w:rPr>
  </w:style>
  <w:style w:type="table" w:styleId="a6">
    <w:name w:val="Table Grid"/>
    <w:basedOn w:val="a1"/>
    <w:rsid w:val="003F1F97"/>
    <w:pPr>
      <w:overflowPunct w:val="0"/>
      <w:autoSpaceDE w:val="0"/>
      <w:autoSpaceDN w:val="0"/>
      <w:bidi/>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a0"/>
    <w:rsid w:val="0058440A"/>
    <w:rPr>
      <w:color w:val="954F72" w:themeColor="followedHyperlink"/>
      <w:u w:val="single"/>
    </w:rPr>
  </w:style>
  <w:style w:type="character" w:styleId="a7">
    <w:name w:val="annotation reference"/>
    <w:basedOn w:val="a0"/>
    <w:rsid w:val="00D00B1D"/>
    <w:rPr>
      <w:sz w:val="16"/>
      <w:szCs w:val="16"/>
    </w:rPr>
  </w:style>
  <w:style w:type="paragraph" w:styleId="a8">
    <w:name w:val="annotation text"/>
    <w:basedOn w:val="a"/>
    <w:link w:val="a9"/>
    <w:rsid w:val="00D00B1D"/>
    <w:rPr>
      <w:szCs w:val="20"/>
    </w:rPr>
  </w:style>
  <w:style w:type="character" w:customStyle="1" w:styleId="a9">
    <w:name w:val="טקסט הערה תו"/>
    <w:basedOn w:val="a0"/>
    <w:link w:val="a8"/>
    <w:rsid w:val="00D00B1D"/>
    <w:rPr>
      <w:rFonts w:cs="David"/>
    </w:rPr>
  </w:style>
  <w:style w:type="paragraph" w:styleId="aa">
    <w:name w:val="annotation subject"/>
    <w:basedOn w:val="a8"/>
    <w:next w:val="a8"/>
    <w:link w:val="ab"/>
    <w:rsid w:val="00D00B1D"/>
    <w:rPr>
      <w:b/>
      <w:bCs/>
    </w:rPr>
  </w:style>
  <w:style w:type="character" w:customStyle="1" w:styleId="ab">
    <w:name w:val="נושא הערה תו"/>
    <w:basedOn w:val="a9"/>
    <w:link w:val="aa"/>
    <w:rsid w:val="00D00B1D"/>
    <w:rPr>
      <w:rFonts w:cs="David"/>
      <w:b/>
      <w:bCs/>
    </w:rPr>
  </w:style>
  <w:style w:type="paragraph" w:styleId="ac">
    <w:name w:val="Balloon Text"/>
    <w:basedOn w:val="a"/>
    <w:link w:val="ad"/>
    <w:rsid w:val="00D00B1D"/>
    <w:rPr>
      <w:rFonts w:ascii="Tahoma" w:hAnsi="Tahoma" w:cs="Tahoma"/>
      <w:sz w:val="18"/>
      <w:szCs w:val="18"/>
    </w:rPr>
  </w:style>
  <w:style w:type="character" w:customStyle="1" w:styleId="ad">
    <w:name w:val="טקסט בלונים תו"/>
    <w:basedOn w:val="a0"/>
    <w:link w:val="ac"/>
    <w:rsid w:val="00D00B1D"/>
    <w:rPr>
      <w:rFonts w:ascii="Tahoma" w:hAnsi="Tahoma" w:cs="Tahoma"/>
      <w:sz w:val="18"/>
      <w:szCs w:val="18"/>
    </w:rPr>
  </w:style>
  <w:style w:type="paragraph" w:customStyle="1" w:styleId="Ruller41">
    <w:name w:val="Ruller 4 ממוספר"/>
    <w:basedOn w:val="Ruller4"/>
    <w:next w:val="Ruller4"/>
    <w:rsid w:val="00320A94"/>
    <w:pPr>
      <w:tabs>
        <w:tab w:val="num" w:pos="907"/>
      </w:tabs>
    </w:pPr>
    <w:rPr>
      <w:rFonts w:ascii="Garamond" w:hAnsi="Garamond"/>
      <w:sz w:val="24"/>
    </w:rPr>
  </w:style>
  <w:style w:type="character" w:customStyle="1" w:styleId="Ruller40">
    <w:name w:val="Ruller4 תו"/>
    <w:basedOn w:val="a0"/>
    <w:link w:val="Ruller4"/>
    <w:locked/>
    <w:rsid w:val="000837EA"/>
    <w:rPr>
      <w:rFonts w:ascii="Arial TUR" w:hAnsi="Arial TUR" w:cs="FrankRuehl"/>
      <w:spacing w:val="10"/>
      <w:sz w:val="22"/>
      <w:szCs w:val="28"/>
    </w:rPr>
  </w:style>
  <w:style w:type="character" w:customStyle="1" w:styleId="20">
    <w:name w:val="כותרת 2 תו"/>
    <w:basedOn w:val="a0"/>
    <w:link w:val="2"/>
    <w:uiPriority w:val="9"/>
    <w:rsid w:val="000837EA"/>
    <w:rPr>
      <w:b/>
      <w:bCs/>
      <w:sz w:val="36"/>
      <w:szCs w:val="36"/>
    </w:rPr>
  </w:style>
  <w:style w:type="paragraph" w:styleId="ae">
    <w:name w:val="Revision"/>
    <w:hidden/>
    <w:uiPriority w:val="99"/>
    <w:semiHidden/>
    <w:rsid w:val="00D95665"/>
    <w:rPr>
      <w:rFonts w:cs="David"/>
      <w:szCs w:val="24"/>
    </w:rPr>
  </w:style>
  <w:style w:type="paragraph" w:customStyle="1" w:styleId="ruller42">
    <w:name w:val="ruller4"/>
    <w:basedOn w:val="a"/>
    <w:rsid w:val="00893B44"/>
    <w:pPr>
      <w:overflowPunct/>
      <w:autoSpaceDE/>
      <w:autoSpaceDN/>
      <w:bidi w:val="0"/>
      <w:adjustRightInd/>
      <w:spacing w:before="100" w:beforeAutospacing="1" w:after="100" w:afterAutospacing="1"/>
      <w:textAlignment w:val="auto"/>
    </w:pPr>
    <w:rPr>
      <w:rFonts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000047">
      <w:bodyDiv w:val="1"/>
      <w:marLeft w:val="0"/>
      <w:marRight w:val="0"/>
      <w:marTop w:val="0"/>
      <w:marBottom w:val="0"/>
      <w:divBdr>
        <w:top w:val="none" w:sz="0" w:space="0" w:color="auto"/>
        <w:left w:val="none" w:sz="0" w:space="0" w:color="auto"/>
        <w:bottom w:val="none" w:sz="0" w:space="0" w:color="auto"/>
        <w:right w:val="none" w:sz="0" w:space="0" w:color="auto"/>
      </w:divBdr>
    </w:div>
    <w:div w:id="239869465">
      <w:bodyDiv w:val="1"/>
      <w:marLeft w:val="0"/>
      <w:marRight w:val="0"/>
      <w:marTop w:val="0"/>
      <w:marBottom w:val="0"/>
      <w:divBdr>
        <w:top w:val="none" w:sz="0" w:space="0" w:color="auto"/>
        <w:left w:val="none" w:sz="0" w:space="0" w:color="auto"/>
        <w:bottom w:val="none" w:sz="0" w:space="0" w:color="auto"/>
        <w:right w:val="none" w:sz="0" w:space="0" w:color="auto"/>
      </w:divBdr>
    </w:div>
    <w:div w:id="256526035">
      <w:bodyDiv w:val="1"/>
      <w:marLeft w:val="0"/>
      <w:marRight w:val="0"/>
      <w:marTop w:val="0"/>
      <w:marBottom w:val="0"/>
      <w:divBdr>
        <w:top w:val="none" w:sz="0" w:space="0" w:color="auto"/>
        <w:left w:val="none" w:sz="0" w:space="0" w:color="auto"/>
        <w:bottom w:val="none" w:sz="0" w:space="0" w:color="auto"/>
        <w:right w:val="none" w:sz="0" w:space="0" w:color="auto"/>
      </w:divBdr>
    </w:div>
    <w:div w:id="1209877614">
      <w:bodyDiv w:val="1"/>
      <w:marLeft w:val="0"/>
      <w:marRight w:val="0"/>
      <w:marTop w:val="0"/>
      <w:marBottom w:val="0"/>
      <w:divBdr>
        <w:top w:val="none" w:sz="0" w:space="0" w:color="auto"/>
        <w:left w:val="none" w:sz="0" w:space="0" w:color="auto"/>
        <w:bottom w:val="none" w:sz="0" w:space="0" w:color="auto"/>
        <w:right w:val="none" w:sz="0" w:space="0" w:color="auto"/>
      </w:divBdr>
      <w:divsChild>
        <w:div w:id="74909628">
          <w:marLeft w:val="0"/>
          <w:marRight w:val="0"/>
          <w:marTop w:val="0"/>
          <w:marBottom w:val="0"/>
          <w:divBdr>
            <w:top w:val="none" w:sz="0" w:space="0" w:color="auto"/>
            <w:left w:val="none" w:sz="0" w:space="0" w:color="auto"/>
            <w:bottom w:val="none" w:sz="0" w:space="0" w:color="auto"/>
            <w:right w:val="none" w:sz="0" w:space="0" w:color="auto"/>
          </w:divBdr>
        </w:div>
      </w:divsChild>
    </w:div>
    <w:div w:id="1407727228">
      <w:bodyDiv w:val="1"/>
      <w:marLeft w:val="0"/>
      <w:marRight w:val="0"/>
      <w:marTop w:val="0"/>
      <w:marBottom w:val="0"/>
      <w:divBdr>
        <w:top w:val="none" w:sz="0" w:space="0" w:color="auto"/>
        <w:left w:val="none" w:sz="0" w:space="0" w:color="auto"/>
        <w:bottom w:val="none" w:sz="0" w:space="0" w:color="auto"/>
        <w:right w:val="none" w:sz="0" w:space="0" w:color="auto"/>
      </w:divBdr>
    </w:div>
    <w:div w:id="186949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supreme.court.gov.il" TargetMode="External"/><Relationship Id="rId4" Type="http://schemas.openxmlformats.org/officeDocument/2006/relationships/styles" Target="styles.xml"/><Relationship Id="rId9" Type="http://schemas.openxmlformats.org/officeDocument/2006/relationships/hyperlink" Target="http://www.nevo.co.il/safrut/bookgroup/4173"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E376BE-CD38-47C3-9740-D5C2A6F4E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7137</Words>
  <Characters>35685</Characters>
  <Application>Microsoft Office Word</Application>
  <DocSecurity>0</DocSecurity>
  <Lines>297</Lines>
  <Paragraphs>85</Paragraphs>
  <ScaleCrop>false</ScaleCrop>
  <HeadingPairs>
    <vt:vector size="2" baseType="variant">
      <vt:variant>
        <vt:lpstr>שם</vt:lpstr>
      </vt:variant>
      <vt:variant>
        <vt:i4>1</vt:i4>
      </vt:variant>
    </vt:vector>
  </HeadingPairs>
  <TitlesOfParts>
    <vt:vector size="1" baseType="lpstr">
      <vt:lpstr>פסק-דין בתיק רע"פ  5334/23</vt:lpstr>
    </vt:vector>
  </TitlesOfParts>
  <Company>supreme court of israel</Company>
  <LinksUpToDate>false</LinksUpToDate>
  <CharactersWithSpaces>42737</CharactersWithSpaces>
  <SharedDoc>false</SharedDoc>
  <HLinks>
    <vt:vector size="6" baseType="variant">
      <vt:variant>
        <vt:i4>1966158</vt:i4>
      </vt:variant>
      <vt:variant>
        <vt:i4>12</vt:i4>
      </vt:variant>
      <vt:variant>
        <vt:i4>0</vt:i4>
      </vt:variant>
      <vt:variant>
        <vt:i4>5</vt:i4>
      </vt:variant>
      <vt:variant>
        <vt:lpwstr>http://www.court.gov.il/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פסק-דין בתיק רע"פ  5334/23</dc:title>
  <dc:subject/>
  <dc:creator>Administrator</dc:creator>
  <cp:keywords/>
  <dc:description/>
  <cp:lastModifiedBy>מוטי גולן</cp:lastModifiedBy>
  <cp:revision>2</cp:revision>
  <cp:lastPrinted>2024-07-03T05:59:00Z</cp:lastPrinted>
  <dcterms:created xsi:type="dcterms:W3CDTF">2024-07-14T06:12:00Z</dcterms:created>
  <dcterms:modified xsi:type="dcterms:W3CDTF">2024-07-14T06:12:00Z</dcterms:modified>
</cp:coreProperties>
</file>